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E0" w:rsidRPr="00F00F46" w:rsidRDefault="00A901E0" w:rsidP="00A901E0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0" w:name="_Toc156543193"/>
      <w:r>
        <w:rPr>
          <w:rFonts w:ascii="Times New Roman" w:hAnsi="Times New Roman" w:cs="Times New Roman"/>
          <w:sz w:val="28"/>
          <w:szCs w:val="28"/>
        </w:rPr>
        <w:t>KDK Corporate Profile</w:t>
      </w:r>
      <w:bookmarkEnd w:id="0"/>
    </w:p>
    <w:p w:rsidR="001362CE" w:rsidRPr="001362CE" w:rsidRDefault="00151B8C" w:rsidP="00A901E0">
      <w:pPr>
        <w:pStyle w:val="BodyTextIndent"/>
        <w:ind w:left="0"/>
        <w:rPr>
          <w:bCs/>
          <w:iCs/>
          <w:sz w:val="22"/>
          <w:szCs w:val="22"/>
        </w:rPr>
      </w:pPr>
      <w:r w:rsidRPr="001362CE">
        <w:rPr>
          <w:sz w:val="22"/>
          <w:szCs w:val="22"/>
        </w:rPr>
        <w:t xml:space="preserve">KDK Consulting Inc. (KDK) is a </w:t>
      </w:r>
      <w:r w:rsidR="00A56B6F">
        <w:rPr>
          <w:sz w:val="22"/>
          <w:szCs w:val="22"/>
        </w:rPr>
        <w:t xml:space="preserve">VA certified </w:t>
      </w:r>
      <w:r w:rsidR="00324A97">
        <w:rPr>
          <w:sz w:val="22"/>
          <w:szCs w:val="22"/>
        </w:rPr>
        <w:t xml:space="preserve">Tennessee based </w:t>
      </w:r>
      <w:r w:rsidRPr="001362CE">
        <w:rPr>
          <w:sz w:val="22"/>
          <w:szCs w:val="22"/>
        </w:rPr>
        <w:t>Service Disabled Veteran Owned Small Business (SDV</w:t>
      </w:r>
      <w:r w:rsidR="001362CE" w:rsidRPr="001362CE">
        <w:rPr>
          <w:sz w:val="22"/>
          <w:szCs w:val="22"/>
        </w:rPr>
        <w:t>O</w:t>
      </w:r>
      <w:r w:rsidR="00742FFA">
        <w:rPr>
          <w:sz w:val="22"/>
          <w:szCs w:val="22"/>
        </w:rPr>
        <w:t>SB</w:t>
      </w:r>
      <w:r w:rsidR="001362CE" w:rsidRPr="001362CE">
        <w:rPr>
          <w:sz w:val="22"/>
          <w:szCs w:val="22"/>
        </w:rPr>
        <w:t>) established in 2007</w:t>
      </w:r>
      <w:r w:rsidRPr="001362CE">
        <w:rPr>
          <w:sz w:val="22"/>
          <w:szCs w:val="22"/>
        </w:rPr>
        <w:t>.  KDK</w:t>
      </w:r>
      <w:r w:rsidR="00A901E0" w:rsidRPr="001362CE">
        <w:rPr>
          <w:sz w:val="22"/>
          <w:szCs w:val="22"/>
        </w:rPr>
        <w:t xml:space="preserve"> </w:t>
      </w:r>
      <w:r w:rsidR="00A901E0" w:rsidRPr="001362CE">
        <w:rPr>
          <w:bCs/>
          <w:iCs/>
          <w:sz w:val="22"/>
          <w:szCs w:val="22"/>
        </w:rPr>
        <w:t xml:space="preserve">has been rendered a favorable Foreign Ownership, Control, or Influence (FOCI) determination and has obtained Q clearances for the key management </w:t>
      </w:r>
      <w:r w:rsidRPr="001362CE">
        <w:rPr>
          <w:bCs/>
          <w:iCs/>
          <w:sz w:val="22"/>
          <w:szCs w:val="22"/>
        </w:rPr>
        <w:t xml:space="preserve">and critical </w:t>
      </w:r>
      <w:r w:rsidR="00A901E0" w:rsidRPr="001362CE">
        <w:rPr>
          <w:bCs/>
          <w:iCs/>
          <w:sz w:val="22"/>
          <w:szCs w:val="22"/>
        </w:rPr>
        <w:t xml:space="preserve">personnel.  </w:t>
      </w:r>
      <w:r w:rsidR="00E54DC0">
        <w:rPr>
          <w:bCs/>
          <w:iCs/>
          <w:sz w:val="22"/>
          <w:szCs w:val="22"/>
        </w:rPr>
        <w:t>KDK was the recipient of the O</w:t>
      </w:r>
      <w:r w:rsidR="007E115F">
        <w:rPr>
          <w:bCs/>
          <w:iCs/>
          <w:sz w:val="22"/>
          <w:szCs w:val="22"/>
        </w:rPr>
        <w:t xml:space="preserve">ak Ridge National </w:t>
      </w:r>
      <w:bookmarkStart w:id="1" w:name="_GoBack"/>
      <w:bookmarkEnd w:id="1"/>
      <w:r w:rsidR="007E115F">
        <w:rPr>
          <w:bCs/>
          <w:iCs/>
          <w:sz w:val="22"/>
          <w:szCs w:val="22"/>
        </w:rPr>
        <w:t>Laboratory</w:t>
      </w:r>
      <w:r w:rsidR="00E54DC0">
        <w:rPr>
          <w:bCs/>
          <w:iCs/>
          <w:sz w:val="22"/>
          <w:szCs w:val="22"/>
        </w:rPr>
        <w:t xml:space="preserve"> SDVO </w:t>
      </w:r>
      <w:r w:rsidR="00724376">
        <w:rPr>
          <w:bCs/>
          <w:iCs/>
          <w:sz w:val="22"/>
          <w:szCs w:val="22"/>
        </w:rPr>
        <w:t xml:space="preserve">small business of the year </w:t>
      </w:r>
      <w:r w:rsidR="00E54DC0">
        <w:rPr>
          <w:bCs/>
          <w:iCs/>
          <w:sz w:val="22"/>
          <w:szCs w:val="22"/>
        </w:rPr>
        <w:t xml:space="preserve">award </w:t>
      </w:r>
      <w:r w:rsidR="00724376">
        <w:rPr>
          <w:bCs/>
          <w:iCs/>
          <w:sz w:val="22"/>
          <w:szCs w:val="22"/>
        </w:rPr>
        <w:t>for 2011</w:t>
      </w:r>
      <w:r w:rsidR="00E54DC0">
        <w:rPr>
          <w:bCs/>
          <w:iCs/>
          <w:sz w:val="22"/>
          <w:szCs w:val="22"/>
        </w:rPr>
        <w:t>.</w:t>
      </w:r>
    </w:p>
    <w:p w:rsidR="001362CE" w:rsidRPr="001362CE" w:rsidRDefault="001362CE" w:rsidP="00A901E0">
      <w:pPr>
        <w:pStyle w:val="BodyTextIndent"/>
        <w:ind w:left="0"/>
        <w:rPr>
          <w:bCs/>
          <w:iCs/>
          <w:sz w:val="22"/>
          <w:szCs w:val="22"/>
        </w:rPr>
      </w:pPr>
    </w:p>
    <w:p w:rsidR="001362CE" w:rsidRPr="001362CE" w:rsidRDefault="00151B8C" w:rsidP="001362CE">
      <w:pPr>
        <w:rPr>
          <w:rFonts w:ascii="Times New Roman" w:hAnsi="Times New Roman" w:cs="Times New Roman"/>
          <w:bCs/>
          <w:iCs/>
        </w:rPr>
      </w:pPr>
      <w:r w:rsidRPr="001362CE">
        <w:rPr>
          <w:rFonts w:ascii="Times New Roman" w:hAnsi="Times New Roman" w:cs="Times New Roman"/>
          <w:bCs/>
          <w:iCs/>
        </w:rPr>
        <w:t>KDK</w:t>
      </w:r>
      <w:r w:rsidR="00A901E0" w:rsidRPr="001362CE">
        <w:rPr>
          <w:rFonts w:ascii="Times New Roman" w:hAnsi="Times New Roman" w:cs="Times New Roman"/>
          <w:bCs/>
          <w:iCs/>
        </w:rPr>
        <w:t xml:space="preserve"> provides project</w:t>
      </w:r>
      <w:r w:rsidR="001362CE">
        <w:rPr>
          <w:rFonts w:ascii="Times New Roman" w:hAnsi="Times New Roman" w:cs="Times New Roman"/>
          <w:bCs/>
          <w:iCs/>
        </w:rPr>
        <w:t xml:space="preserve"> </w:t>
      </w:r>
      <w:r w:rsidR="007C08F4">
        <w:rPr>
          <w:rFonts w:ascii="Times New Roman" w:hAnsi="Times New Roman" w:cs="Times New Roman"/>
          <w:bCs/>
          <w:iCs/>
        </w:rPr>
        <w:t xml:space="preserve">and quality </w:t>
      </w:r>
      <w:r w:rsidR="001362CE">
        <w:rPr>
          <w:rFonts w:ascii="Times New Roman" w:hAnsi="Times New Roman" w:cs="Times New Roman"/>
          <w:bCs/>
          <w:iCs/>
        </w:rPr>
        <w:t>management</w:t>
      </w:r>
      <w:r w:rsidR="00A901E0" w:rsidRPr="001362CE">
        <w:rPr>
          <w:rFonts w:ascii="Times New Roman" w:hAnsi="Times New Roman" w:cs="Times New Roman"/>
          <w:bCs/>
          <w:iCs/>
        </w:rPr>
        <w:t xml:space="preserve">, </w:t>
      </w:r>
      <w:r w:rsidR="001362CE">
        <w:rPr>
          <w:rFonts w:ascii="Times New Roman" w:hAnsi="Times New Roman" w:cs="Times New Roman"/>
          <w:bCs/>
          <w:iCs/>
        </w:rPr>
        <w:t xml:space="preserve">fabrication, </w:t>
      </w:r>
      <w:r w:rsidR="00742FFA">
        <w:rPr>
          <w:rFonts w:ascii="Times New Roman" w:hAnsi="Times New Roman" w:cs="Times New Roman"/>
          <w:bCs/>
          <w:iCs/>
        </w:rPr>
        <w:t>procurement</w:t>
      </w:r>
      <w:r w:rsidR="00742FFA">
        <w:rPr>
          <w:rFonts w:ascii="Times New Roman" w:hAnsi="Times New Roman" w:cs="Times New Roman"/>
          <w:bCs/>
          <w:iCs/>
        </w:rPr>
        <w:t xml:space="preserve">, </w:t>
      </w:r>
      <w:r w:rsidR="001362CE" w:rsidRPr="001362CE">
        <w:rPr>
          <w:rFonts w:ascii="Times New Roman" w:hAnsi="Times New Roman" w:cs="Times New Roman"/>
          <w:bCs/>
          <w:iCs/>
        </w:rPr>
        <w:t xml:space="preserve">technical </w:t>
      </w:r>
      <w:r w:rsidR="00742FFA">
        <w:rPr>
          <w:rFonts w:ascii="Times New Roman" w:hAnsi="Times New Roman" w:cs="Times New Roman"/>
          <w:bCs/>
          <w:iCs/>
        </w:rPr>
        <w:t xml:space="preserve">services, </w:t>
      </w:r>
      <w:r w:rsidR="00742FFA" w:rsidRPr="001362CE">
        <w:rPr>
          <w:rFonts w:ascii="Times New Roman" w:hAnsi="Times New Roman" w:cs="Times New Roman"/>
          <w:bCs/>
          <w:iCs/>
        </w:rPr>
        <w:t>construction</w:t>
      </w:r>
      <w:r w:rsidR="00742FFA" w:rsidRPr="001362CE">
        <w:rPr>
          <w:rFonts w:ascii="Times New Roman" w:hAnsi="Times New Roman" w:cs="Times New Roman"/>
          <w:bCs/>
          <w:iCs/>
        </w:rPr>
        <w:t xml:space="preserve"> </w:t>
      </w:r>
      <w:r w:rsidR="001362CE" w:rsidRPr="001362CE">
        <w:rPr>
          <w:rFonts w:ascii="Times New Roman" w:hAnsi="Times New Roman" w:cs="Times New Roman"/>
          <w:bCs/>
          <w:iCs/>
        </w:rPr>
        <w:t xml:space="preserve">and </w:t>
      </w:r>
      <w:r w:rsidRPr="001362CE">
        <w:rPr>
          <w:rFonts w:ascii="Times New Roman" w:hAnsi="Times New Roman" w:cs="Times New Roman"/>
          <w:bCs/>
          <w:iCs/>
        </w:rPr>
        <w:t xml:space="preserve">operational </w:t>
      </w:r>
      <w:r w:rsidR="001362CE">
        <w:rPr>
          <w:rFonts w:ascii="Times New Roman" w:hAnsi="Times New Roman" w:cs="Times New Roman"/>
          <w:bCs/>
          <w:iCs/>
        </w:rPr>
        <w:t xml:space="preserve">testing and </w:t>
      </w:r>
      <w:r w:rsidRPr="001362CE">
        <w:rPr>
          <w:rFonts w:ascii="Times New Roman" w:hAnsi="Times New Roman" w:cs="Times New Roman"/>
          <w:bCs/>
          <w:iCs/>
        </w:rPr>
        <w:t>readiness</w:t>
      </w:r>
      <w:r w:rsidR="001362CE">
        <w:rPr>
          <w:rFonts w:ascii="Times New Roman" w:hAnsi="Times New Roman" w:cs="Times New Roman"/>
          <w:bCs/>
          <w:iCs/>
        </w:rPr>
        <w:t xml:space="preserve"> services</w:t>
      </w:r>
      <w:r w:rsidRPr="001362CE">
        <w:rPr>
          <w:rFonts w:ascii="Times New Roman" w:hAnsi="Times New Roman" w:cs="Times New Roman"/>
          <w:bCs/>
          <w:iCs/>
        </w:rPr>
        <w:t xml:space="preserve"> </w:t>
      </w:r>
      <w:r w:rsidR="00A901E0" w:rsidRPr="001362CE">
        <w:rPr>
          <w:rFonts w:ascii="Times New Roman" w:hAnsi="Times New Roman" w:cs="Times New Roman"/>
          <w:bCs/>
          <w:iCs/>
        </w:rPr>
        <w:t>to both government and commercial clients</w:t>
      </w:r>
      <w:r w:rsidR="001362CE" w:rsidRPr="001362CE">
        <w:rPr>
          <w:rFonts w:ascii="Times New Roman" w:hAnsi="Times New Roman" w:cs="Times New Roman"/>
          <w:bCs/>
          <w:iCs/>
        </w:rPr>
        <w:t xml:space="preserve">.  </w:t>
      </w:r>
      <w:r w:rsidR="001362CE">
        <w:rPr>
          <w:rFonts w:ascii="Times New Roman" w:hAnsi="Times New Roman" w:cs="Times New Roman"/>
          <w:bCs/>
          <w:iCs/>
        </w:rPr>
        <w:t xml:space="preserve">Details in some of these areas are provided below.  </w:t>
      </w:r>
      <w:r w:rsidR="001362CE" w:rsidRPr="001362CE">
        <w:rPr>
          <w:rFonts w:ascii="Times New Roman" w:hAnsi="Times New Roman" w:cs="Times New Roman"/>
          <w:bCs/>
          <w:iCs/>
        </w:rPr>
        <w:t xml:space="preserve">Additional information can be found at </w:t>
      </w:r>
      <w:hyperlink r:id="rId9" w:history="1">
        <w:r w:rsidR="001362CE" w:rsidRPr="001362CE">
          <w:rPr>
            <w:rStyle w:val="Hyperlink"/>
            <w:rFonts w:ascii="Times New Roman" w:hAnsi="Times New Roman" w:cs="Times New Roman"/>
          </w:rPr>
          <w:t>www.kdkconsults.com</w:t>
        </w:r>
      </w:hyperlink>
    </w:p>
    <w:p w:rsidR="00AA0581" w:rsidRPr="00AA0581" w:rsidRDefault="00AA0581" w:rsidP="00AA0581">
      <w:pPr>
        <w:pStyle w:val="BodyTextIndent"/>
        <w:ind w:left="0"/>
        <w:rPr>
          <w:sz w:val="22"/>
          <w:szCs w:val="22"/>
        </w:rPr>
      </w:pPr>
      <w:r w:rsidRPr="00AA0581">
        <w:rPr>
          <w:sz w:val="22"/>
          <w:szCs w:val="22"/>
          <w:u w:val="single"/>
        </w:rPr>
        <w:t>Project Management Services</w:t>
      </w:r>
      <w:r w:rsidRPr="00AA0581">
        <w:rPr>
          <w:sz w:val="22"/>
          <w:szCs w:val="22"/>
        </w:rPr>
        <w:t xml:space="preserve"> include</w:t>
      </w:r>
      <w:r w:rsidR="00E838DE">
        <w:rPr>
          <w:sz w:val="22"/>
          <w:szCs w:val="22"/>
        </w:rPr>
        <w:t>s</w:t>
      </w:r>
      <w:r w:rsidRPr="00AA0581">
        <w:rPr>
          <w:sz w:val="22"/>
          <w:szCs w:val="22"/>
        </w:rPr>
        <w:t>: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Project Plan Development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Development of Work Breakdown Structures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Earned Value Development and Analysis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Project Scheduling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Project Change Control</w:t>
      </w:r>
    </w:p>
    <w:p w:rsidR="00AA0581" w:rsidRP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Quality Program Development</w:t>
      </w:r>
    </w:p>
    <w:p w:rsidR="00AA0581" w:rsidRDefault="00AA0581" w:rsidP="00AA0581">
      <w:pPr>
        <w:pStyle w:val="BodyTextIndent"/>
        <w:numPr>
          <w:ilvl w:val="0"/>
          <w:numId w:val="5"/>
        </w:numPr>
        <w:rPr>
          <w:sz w:val="22"/>
          <w:szCs w:val="22"/>
        </w:rPr>
      </w:pPr>
      <w:r w:rsidRPr="00AA0581">
        <w:rPr>
          <w:sz w:val="22"/>
          <w:szCs w:val="22"/>
        </w:rPr>
        <w:t>Risk Analysis and Mitigation</w:t>
      </w: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  <w:r w:rsidRPr="00AA0581">
        <w:rPr>
          <w:sz w:val="22"/>
          <w:szCs w:val="22"/>
          <w:u w:val="single"/>
        </w:rPr>
        <w:t>Quality Management Services</w:t>
      </w:r>
      <w:r>
        <w:rPr>
          <w:sz w:val="22"/>
          <w:szCs w:val="22"/>
        </w:rPr>
        <w:t xml:space="preserve"> include</w:t>
      </w:r>
      <w:r w:rsidR="00E838DE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CFR 830 Subpart B QA Program Development and Implementation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DOE 414.1C QA Program Development and Implementation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NQA-1 QA Program Development and Implementation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Software Quality Assurance (SQA) Program Development and Implementation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Configuration Management Program Development and Implementation</w:t>
      </w:r>
    </w:p>
    <w:p w:rsidR="00AA0581" w:rsidRDefault="00AA0581" w:rsidP="00AA0581">
      <w:pPr>
        <w:pStyle w:val="BodyTextInden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Certified NQA-1 Lead Auditors to support Program development and independent assessment and audit. </w:t>
      </w: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  <w:r w:rsidRPr="00AA0581">
        <w:rPr>
          <w:sz w:val="22"/>
          <w:szCs w:val="22"/>
          <w:u w:val="single"/>
        </w:rPr>
        <w:t>Fabrication and Procurement Services</w:t>
      </w:r>
      <w:r>
        <w:rPr>
          <w:sz w:val="22"/>
          <w:szCs w:val="22"/>
        </w:rPr>
        <w:t xml:space="preserve"> include</w:t>
      </w:r>
      <w:r w:rsidR="00E838DE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Development of NQA-1 Quality Programs for small business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Development and implementation of NQA-1 and ISO Qualified Fabrication and Welding Facilities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Procurement Management Services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Vendor Inspection Services for Owner and Contractor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Independent Audit and Assessment Programs</w:t>
      </w:r>
    </w:p>
    <w:p w:rsidR="00AA0581" w:rsidRDefault="00AA0581" w:rsidP="00AA0581">
      <w:pPr>
        <w:pStyle w:val="BodyTextInden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Level II and Level III Certified Weld Inspectors</w:t>
      </w: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</w:p>
    <w:p w:rsidR="00324A97" w:rsidRPr="00975D35" w:rsidRDefault="00324A97" w:rsidP="00324A97">
      <w:pPr>
        <w:spacing w:after="0" w:line="240" w:lineRule="auto"/>
        <w:rPr>
          <w:rFonts w:ascii="Times New Roman" w:hAnsi="Times New Roman" w:cs="Times New Roman"/>
        </w:rPr>
      </w:pPr>
      <w:r w:rsidRPr="00883A0B">
        <w:rPr>
          <w:rFonts w:ascii="Times New Roman" w:hAnsi="Times New Roman" w:cs="Times New Roman"/>
          <w:u w:val="single"/>
        </w:rPr>
        <w:t>Technical Services</w:t>
      </w:r>
      <w:r>
        <w:rPr>
          <w:rFonts w:ascii="Times New Roman" w:hAnsi="Times New Roman" w:cs="Times New Roman"/>
        </w:rPr>
        <w:t xml:space="preserve"> includes: </w:t>
      </w:r>
    </w:p>
    <w:p w:rsidR="00324A97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of Operations </w:t>
      </w:r>
      <w:r w:rsidRPr="00975D35">
        <w:rPr>
          <w:rFonts w:ascii="Times New Roman" w:hAnsi="Times New Roman" w:cs="Times New Roman"/>
        </w:rPr>
        <w:t>Program Development</w:t>
      </w:r>
      <w:r>
        <w:rPr>
          <w:rFonts w:ascii="Times New Roman" w:hAnsi="Times New Roman" w:cs="Times New Roman"/>
        </w:rPr>
        <w:t xml:space="preserve"> and Implementation</w:t>
      </w:r>
    </w:p>
    <w:p w:rsidR="00324A97" w:rsidRPr="00975D35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 of Maintenance Development and Implementation</w:t>
      </w:r>
    </w:p>
    <w:p w:rsidR="00324A97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5D35">
        <w:rPr>
          <w:rFonts w:ascii="Times New Roman" w:hAnsi="Times New Roman" w:cs="Times New Roman"/>
        </w:rPr>
        <w:t xml:space="preserve">Integrated </w:t>
      </w:r>
      <w:r>
        <w:rPr>
          <w:rFonts w:ascii="Times New Roman" w:hAnsi="Times New Roman" w:cs="Times New Roman"/>
        </w:rPr>
        <w:t xml:space="preserve">Security and </w:t>
      </w:r>
      <w:r w:rsidRPr="00975D35">
        <w:rPr>
          <w:rFonts w:ascii="Times New Roman" w:hAnsi="Times New Roman" w:cs="Times New Roman"/>
        </w:rPr>
        <w:t>Safety Management</w:t>
      </w:r>
      <w:r>
        <w:rPr>
          <w:rFonts w:ascii="Times New Roman" w:hAnsi="Times New Roman" w:cs="Times New Roman"/>
        </w:rPr>
        <w:t xml:space="preserve"> Program Development and Implementation</w:t>
      </w:r>
    </w:p>
    <w:p w:rsidR="00324A97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5D35">
        <w:rPr>
          <w:rFonts w:ascii="Times New Roman" w:hAnsi="Times New Roman" w:cs="Times New Roman"/>
        </w:rPr>
        <w:t>Operational Readiness Review</w:t>
      </w:r>
      <w:r>
        <w:rPr>
          <w:rFonts w:ascii="Times New Roman" w:hAnsi="Times New Roman" w:cs="Times New Roman"/>
        </w:rPr>
        <w:t xml:space="preserve"> Planning and Execution both Owner and Contractor </w:t>
      </w:r>
    </w:p>
    <w:p w:rsidR="00324A97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 Program Development and Implementation</w:t>
      </w:r>
    </w:p>
    <w:p w:rsidR="00324A97" w:rsidRPr="00975D35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Procedure Preparation (Administrative and Technical)</w:t>
      </w:r>
    </w:p>
    <w:p w:rsidR="00324A97" w:rsidRPr="00975D35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5D35">
        <w:rPr>
          <w:rFonts w:ascii="Times New Roman" w:hAnsi="Times New Roman" w:cs="Times New Roman"/>
        </w:rPr>
        <w:t>Testing Program Development</w:t>
      </w:r>
      <w:r>
        <w:rPr>
          <w:rFonts w:ascii="Times New Roman" w:hAnsi="Times New Roman" w:cs="Times New Roman"/>
        </w:rPr>
        <w:t xml:space="preserve"> and Execution</w:t>
      </w:r>
    </w:p>
    <w:p w:rsidR="00324A97" w:rsidRDefault="00324A97" w:rsidP="00324A9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75D35">
        <w:rPr>
          <w:rFonts w:ascii="Times New Roman" w:hAnsi="Times New Roman" w:cs="Times New Roman"/>
        </w:rPr>
        <w:t>Radiological Controls</w:t>
      </w:r>
      <w:r>
        <w:rPr>
          <w:rFonts w:ascii="Times New Roman" w:hAnsi="Times New Roman" w:cs="Times New Roman"/>
        </w:rPr>
        <w:t xml:space="preserve"> Program Development</w:t>
      </w:r>
    </w:p>
    <w:p w:rsidR="00324A97" w:rsidRDefault="00324A97" w:rsidP="00324A97">
      <w:pPr>
        <w:spacing w:after="0" w:line="240" w:lineRule="auto"/>
        <w:rPr>
          <w:rFonts w:ascii="Times New Roman" w:hAnsi="Times New Roman" w:cs="Times New Roman"/>
        </w:rPr>
      </w:pPr>
    </w:p>
    <w:p w:rsidR="00324A97" w:rsidRPr="00324A97" w:rsidRDefault="00324A97" w:rsidP="00324A97">
      <w:pPr>
        <w:spacing w:after="0" w:line="240" w:lineRule="auto"/>
        <w:rPr>
          <w:rFonts w:ascii="Times New Roman" w:hAnsi="Times New Roman" w:cs="Times New Roman"/>
        </w:rPr>
      </w:pPr>
    </w:p>
    <w:p w:rsidR="00AA0581" w:rsidRDefault="00AA0581" w:rsidP="00AA0581">
      <w:pPr>
        <w:pStyle w:val="BodyTextIndent"/>
        <w:ind w:left="0"/>
        <w:rPr>
          <w:sz w:val="22"/>
          <w:szCs w:val="22"/>
        </w:rPr>
      </w:pPr>
      <w:r w:rsidRPr="005325CE">
        <w:rPr>
          <w:sz w:val="22"/>
          <w:szCs w:val="22"/>
          <w:u w:val="single"/>
        </w:rPr>
        <w:t>Construction Services</w:t>
      </w:r>
      <w:r>
        <w:rPr>
          <w:sz w:val="22"/>
          <w:szCs w:val="22"/>
        </w:rPr>
        <w:t xml:space="preserve"> include</w:t>
      </w:r>
      <w:r w:rsidR="00E838DE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:rsidR="005325CE" w:rsidRDefault="005325CE" w:rsidP="005325CE">
      <w:pPr>
        <w:pStyle w:val="BodyTextInden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Site Construction Services</w:t>
      </w:r>
    </w:p>
    <w:p w:rsidR="00AA0581" w:rsidRDefault="00AA0581" w:rsidP="005325CE">
      <w:pPr>
        <w:pStyle w:val="BodyTextInden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Construction Management Services</w:t>
      </w:r>
    </w:p>
    <w:p w:rsidR="00AA0581" w:rsidRDefault="00AA0581" w:rsidP="005325CE">
      <w:pPr>
        <w:pStyle w:val="BodyTextInden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Owner Oversight Inspection</w:t>
      </w:r>
    </w:p>
    <w:p w:rsidR="00AA0581" w:rsidRPr="00AA0581" w:rsidRDefault="00AA0581" w:rsidP="005325CE">
      <w:pPr>
        <w:pStyle w:val="BodyTextInden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Independent Construction Inspection</w:t>
      </w:r>
    </w:p>
    <w:p w:rsidR="00AA0581" w:rsidRDefault="00AA0581" w:rsidP="00AA0581">
      <w:pPr>
        <w:pStyle w:val="BodyTextIndent"/>
        <w:ind w:left="0"/>
      </w:pPr>
    </w:p>
    <w:p w:rsidR="00A901E0" w:rsidRDefault="00151B8C" w:rsidP="00A901E0">
      <w:pPr>
        <w:pStyle w:val="BodyTextIndent"/>
        <w:ind w:left="0"/>
      </w:pPr>
      <w:r>
        <w:t>KDK</w:t>
      </w:r>
      <w:r w:rsidR="00A901E0">
        <w:t xml:space="preserve"> client list includes:  </w:t>
      </w:r>
    </w:p>
    <w:p w:rsidR="00A901E0" w:rsidRDefault="00A901E0" w:rsidP="00A901E0">
      <w:pPr>
        <w:pStyle w:val="BodyTextIndent"/>
        <w:ind w:left="0"/>
        <w:rPr>
          <w:b/>
          <w:bCs/>
        </w:rPr>
      </w:pP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Adman Electric, Oak Ridge, TN</w:t>
      </w:r>
    </w:p>
    <w:p w:rsidR="00A901E0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Alstom, Knoxville, TN</w:t>
      </w:r>
    </w:p>
    <w:p w:rsidR="00324A97" w:rsidRPr="001362CE" w:rsidRDefault="00324A97" w:rsidP="00A901E0">
      <w:pPr>
        <w:pStyle w:val="BodyTextIndent"/>
        <w:numPr>
          <w:ilvl w:val="0"/>
          <w:numId w:val="1"/>
        </w:numPr>
        <w:rPr>
          <w:bCs/>
        </w:rPr>
      </w:pPr>
      <w:r>
        <w:rPr>
          <w:bCs/>
        </w:rPr>
        <w:t>BWXT Y12, Oak Ridge TN</w:t>
      </w:r>
    </w:p>
    <w:p w:rsidR="001362CE" w:rsidRPr="001362CE" w:rsidRDefault="001362CE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Babcock &amp; Wilcox Conversion Services Inc., Lexington, KY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 xml:space="preserve">Catalyst Air Management, Inc., Knoxville, TN 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DOE Oakridge Operations, Oak Ridge, TN</w:t>
      </w:r>
    </w:p>
    <w:p w:rsidR="00A901E0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DOE Portsmouth/Paducah Field Office, Lexington, KY</w:t>
      </w:r>
    </w:p>
    <w:p w:rsidR="00324A97" w:rsidRPr="001362CE" w:rsidRDefault="00324A97" w:rsidP="00A901E0">
      <w:pPr>
        <w:pStyle w:val="BodyTextIndent"/>
        <w:numPr>
          <w:ilvl w:val="0"/>
          <w:numId w:val="1"/>
        </w:numPr>
        <w:rPr>
          <w:bCs/>
        </w:rPr>
      </w:pPr>
      <w:r>
        <w:rPr>
          <w:bCs/>
        </w:rPr>
        <w:t>Edlow International, Washington DC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EmeraChem, Knoxville, TN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Hershey Foods, Inc., Oakdale, CA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Isotek, LLC, Oak Ridge, TN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LMK Engineers, LLC, Pottstown, PA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 xml:space="preserve">Phelps Dodge, Globe, Arizona 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SunCoke, Knoxville, TN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Tellico Electric, Inc., Lenoir City, TN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UT-Batelle, ORNL, Oak Ridge, TN</w:t>
      </w:r>
    </w:p>
    <w:p w:rsidR="00A901E0" w:rsidRPr="001362CE" w:rsidRDefault="00A901E0" w:rsidP="00A901E0">
      <w:pPr>
        <w:pStyle w:val="BodyTextIndent"/>
        <w:numPr>
          <w:ilvl w:val="0"/>
          <w:numId w:val="1"/>
        </w:numPr>
        <w:rPr>
          <w:bCs/>
        </w:rPr>
      </w:pPr>
      <w:r w:rsidRPr="001362CE">
        <w:rPr>
          <w:bCs/>
        </w:rPr>
        <w:t>Uranium Disposition Services, LLC, Lexington, KY – Portsmouth, OH</w:t>
      </w:r>
    </w:p>
    <w:p w:rsidR="00A901E0" w:rsidRDefault="00E54DC0" w:rsidP="00A901E0">
      <w:pPr>
        <w:pStyle w:val="BodyTextIndent"/>
        <w:numPr>
          <w:ilvl w:val="0"/>
          <w:numId w:val="1"/>
        </w:numPr>
        <w:rPr>
          <w:bCs/>
        </w:rPr>
      </w:pPr>
      <w:r>
        <w:rPr>
          <w:bCs/>
        </w:rPr>
        <w:t>USEC</w:t>
      </w:r>
      <w:r w:rsidR="00A901E0" w:rsidRPr="001362CE">
        <w:rPr>
          <w:bCs/>
        </w:rPr>
        <w:t xml:space="preserve"> Inc., </w:t>
      </w:r>
      <w:r>
        <w:rPr>
          <w:bCs/>
        </w:rPr>
        <w:t xml:space="preserve">ACP </w:t>
      </w:r>
      <w:r w:rsidR="00A901E0" w:rsidRPr="001362CE">
        <w:rPr>
          <w:bCs/>
        </w:rPr>
        <w:t>Oak Ridge, TN</w:t>
      </w:r>
    </w:p>
    <w:p w:rsidR="00E54DC0" w:rsidRDefault="00E54DC0" w:rsidP="00A901E0">
      <w:pPr>
        <w:pStyle w:val="BodyTextIndent"/>
        <w:numPr>
          <w:ilvl w:val="0"/>
          <w:numId w:val="1"/>
        </w:numPr>
        <w:rPr>
          <w:bCs/>
        </w:rPr>
      </w:pPr>
      <w:r>
        <w:rPr>
          <w:bCs/>
        </w:rPr>
        <w:t>USEC Inc., ACP Piketon, OH</w:t>
      </w:r>
    </w:p>
    <w:p w:rsidR="00E54DC0" w:rsidRPr="001362CE" w:rsidRDefault="00E54DC0" w:rsidP="00A901E0">
      <w:pPr>
        <w:pStyle w:val="BodyTextIndent"/>
        <w:numPr>
          <w:ilvl w:val="0"/>
          <w:numId w:val="1"/>
        </w:numPr>
        <w:rPr>
          <w:bCs/>
        </w:rPr>
      </w:pPr>
      <w:r>
        <w:rPr>
          <w:bCs/>
        </w:rPr>
        <w:t>USEC Inc., Gaseous Diffusion Plant, Portsmouth, OH</w:t>
      </w:r>
    </w:p>
    <w:p w:rsidR="00A901E0" w:rsidRDefault="00A901E0" w:rsidP="00A901E0">
      <w:pPr>
        <w:pStyle w:val="BodyTextIndent"/>
        <w:ind w:left="0"/>
      </w:pPr>
    </w:p>
    <w:p w:rsidR="00324A97" w:rsidRDefault="00324A97" w:rsidP="00A901E0">
      <w:pPr>
        <w:pStyle w:val="BodyTextIndent"/>
        <w:ind w:left="0"/>
      </w:pPr>
    </w:p>
    <w:p w:rsidR="00324A97" w:rsidRDefault="00324A97" w:rsidP="00A901E0">
      <w:pPr>
        <w:pStyle w:val="BodyTextIndent"/>
        <w:ind w:left="0"/>
      </w:pPr>
      <w:r>
        <w:t>For additional information please call Jim Henkel, CEO at 865.406.4420</w:t>
      </w:r>
      <w:r w:rsidR="00A56B6F">
        <w:t xml:space="preserve"> or email at: </w:t>
      </w:r>
      <w:hyperlink r:id="rId10" w:history="1">
        <w:r w:rsidR="00A56B6F" w:rsidRPr="00B677ED">
          <w:rPr>
            <w:rStyle w:val="Hyperlink"/>
          </w:rPr>
          <w:t>jim.henkel@kdkconsults.com</w:t>
        </w:r>
      </w:hyperlink>
      <w:r w:rsidR="00A56B6F">
        <w:t>.</w:t>
      </w:r>
    </w:p>
    <w:p w:rsidR="00A56B6F" w:rsidRDefault="00A56B6F" w:rsidP="00A901E0">
      <w:pPr>
        <w:pStyle w:val="BodyTextIndent"/>
        <w:ind w:left="0"/>
      </w:pPr>
    </w:p>
    <w:p w:rsidR="00A56B6F" w:rsidRDefault="00A56B6F" w:rsidP="00A901E0">
      <w:pPr>
        <w:pStyle w:val="BodyTextIndent"/>
        <w:ind w:left="0"/>
      </w:pPr>
    </w:p>
    <w:p w:rsidR="00A84A99" w:rsidRDefault="00A84A99" w:rsidP="00A901E0">
      <w:pPr>
        <w:pStyle w:val="BodyTextIndent"/>
        <w:ind w:left="0"/>
      </w:pPr>
      <w:r>
        <w:t>Mailing Address:</w:t>
      </w:r>
    </w:p>
    <w:p w:rsidR="00A56B6F" w:rsidRDefault="00A56B6F" w:rsidP="00A901E0">
      <w:pPr>
        <w:pStyle w:val="BodyTextIndent"/>
        <w:ind w:left="0"/>
      </w:pPr>
      <w:proofErr w:type="gramStart"/>
      <w:r>
        <w:t>KDK Consulting Inc.</w:t>
      </w:r>
      <w:proofErr w:type="gramEnd"/>
    </w:p>
    <w:p w:rsidR="00A56B6F" w:rsidRDefault="00A56B6F" w:rsidP="00A901E0">
      <w:pPr>
        <w:pStyle w:val="BodyTextIndent"/>
        <w:ind w:left="0"/>
      </w:pPr>
      <w:r>
        <w:t>1328Amburn Lane</w:t>
      </w:r>
    </w:p>
    <w:p w:rsidR="00A56B6F" w:rsidRDefault="00A56B6F" w:rsidP="00A901E0">
      <w:pPr>
        <w:pStyle w:val="BodyTextIndent"/>
        <w:ind w:left="0"/>
      </w:pPr>
      <w:r>
        <w:t>Knoxville TN 37923-1501</w:t>
      </w:r>
    </w:p>
    <w:sectPr w:rsidR="00A56B6F" w:rsidSect="00AE6489">
      <w:headerReference w:type="default" r:id="rId11"/>
      <w:footerReference w:type="default" r:id="rId12"/>
      <w:pgSz w:w="12240" w:h="15840"/>
      <w:pgMar w:top="1800" w:right="1339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0E" w:rsidRDefault="00E1350E" w:rsidP="00FC384B">
      <w:pPr>
        <w:spacing w:after="0" w:line="240" w:lineRule="auto"/>
      </w:pPr>
      <w:r>
        <w:separator/>
      </w:r>
    </w:p>
  </w:endnote>
  <w:endnote w:type="continuationSeparator" w:id="0">
    <w:p w:rsidR="00E1350E" w:rsidRDefault="00E1350E" w:rsidP="00FC3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944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DC0" w:rsidRDefault="00E54DC0" w:rsidP="00E54DC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08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4DC0" w:rsidRPr="00E54DC0" w:rsidRDefault="00E54DC0" w:rsidP="00E54DC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0E" w:rsidRDefault="00E1350E" w:rsidP="00FC384B">
      <w:pPr>
        <w:spacing w:after="0" w:line="240" w:lineRule="auto"/>
      </w:pPr>
      <w:r>
        <w:separator/>
      </w:r>
    </w:p>
  </w:footnote>
  <w:footnote w:type="continuationSeparator" w:id="0">
    <w:p w:rsidR="00E1350E" w:rsidRDefault="00E1350E" w:rsidP="00FC3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4B" w:rsidRDefault="00541660" w:rsidP="00AE6489">
    <w:pPr>
      <w:pStyle w:val="Header"/>
    </w:pPr>
    <w:r>
      <w:rPr>
        <w:noProof/>
      </w:rPr>
      <w:drawing>
        <wp:inline distT="0" distB="0" distL="0" distR="0" wp14:anchorId="34CB20AB" wp14:editId="6FB11A2F">
          <wp:extent cx="2419350" cy="71053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621" cy="716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F69CAC5" wp14:editId="5894BDF5">
          <wp:extent cx="914400" cy="914400"/>
          <wp:effectExtent l="0" t="0" r="0" b="0"/>
          <wp:docPr id="1" name="Picture 1" descr="Description: C:\Users\jwilliams\Desktop\cve_completed_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C:\Users\jwilliams\Desktop\cve_completed_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4pt;height:9pt" o:bullet="t">
        <v:imagedata r:id="rId1" o:title="bullet2"/>
      </v:shape>
    </w:pict>
  </w:numPicBullet>
  <w:numPicBullet w:numPicBulletId="1">
    <w:pict>
      <v:shape id="_x0000_i1119" type="#_x0000_t75" style="width:4pt;height:9pt" o:bullet="t">
        <v:imagedata r:id="rId2" o:title="bullet3"/>
      </v:shape>
    </w:pict>
  </w:numPicBullet>
  <w:abstractNum w:abstractNumId="0">
    <w:nsid w:val="063263BD"/>
    <w:multiLevelType w:val="hybridMultilevel"/>
    <w:tmpl w:val="17C43404"/>
    <w:lvl w:ilvl="0" w:tplc="760AF2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41CD9"/>
    <w:multiLevelType w:val="multilevel"/>
    <w:tmpl w:val="CD2C93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256275B"/>
    <w:multiLevelType w:val="hybridMultilevel"/>
    <w:tmpl w:val="227E93CE"/>
    <w:lvl w:ilvl="0" w:tplc="CEBECF5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638F6"/>
    <w:multiLevelType w:val="hybridMultilevel"/>
    <w:tmpl w:val="0EF080B4"/>
    <w:lvl w:ilvl="0" w:tplc="760AF2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20417D"/>
    <w:multiLevelType w:val="hybridMultilevel"/>
    <w:tmpl w:val="FD289CA8"/>
    <w:lvl w:ilvl="0" w:tplc="CEBECF58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29213B"/>
    <w:multiLevelType w:val="hybridMultilevel"/>
    <w:tmpl w:val="B84E3E08"/>
    <w:lvl w:ilvl="0" w:tplc="760AF2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74B191C"/>
    <w:multiLevelType w:val="hybridMultilevel"/>
    <w:tmpl w:val="FE00D6E2"/>
    <w:lvl w:ilvl="0" w:tplc="760AF2D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56540"/>
    <w:multiLevelType w:val="hybridMultilevel"/>
    <w:tmpl w:val="46102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84B"/>
    <w:rsid w:val="00056127"/>
    <w:rsid w:val="001362CE"/>
    <w:rsid w:val="00151B8C"/>
    <w:rsid w:val="00202B03"/>
    <w:rsid w:val="00283F09"/>
    <w:rsid w:val="00324A97"/>
    <w:rsid w:val="005325CE"/>
    <w:rsid w:val="00541660"/>
    <w:rsid w:val="006135C7"/>
    <w:rsid w:val="00724376"/>
    <w:rsid w:val="00742FFA"/>
    <w:rsid w:val="007C08F4"/>
    <w:rsid w:val="007E115F"/>
    <w:rsid w:val="007F55E2"/>
    <w:rsid w:val="00883A0B"/>
    <w:rsid w:val="00885140"/>
    <w:rsid w:val="00975D35"/>
    <w:rsid w:val="00A56B6F"/>
    <w:rsid w:val="00A84A99"/>
    <w:rsid w:val="00A901E0"/>
    <w:rsid w:val="00AA0581"/>
    <w:rsid w:val="00AE6489"/>
    <w:rsid w:val="00D14C9B"/>
    <w:rsid w:val="00DE43D2"/>
    <w:rsid w:val="00E1350E"/>
    <w:rsid w:val="00E54DC0"/>
    <w:rsid w:val="00E838DE"/>
    <w:rsid w:val="00E913BA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01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4B"/>
  </w:style>
  <w:style w:type="paragraph" w:styleId="Footer">
    <w:name w:val="footer"/>
    <w:basedOn w:val="Normal"/>
    <w:link w:val="FooterChar"/>
    <w:uiPriority w:val="99"/>
    <w:unhideWhenUsed/>
    <w:rsid w:val="00FC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4B"/>
  </w:style>
  <w:style w:type="paragraph" w:styleId="BalloonText">
    <w:name w:val="Balloon Text"/>
    <w:basedOn w:val="Normal"/>
    <w:link w:val="BalloonTextChar"/>
    <w:uiPriority w:val="99"/>
    <w:semiHidden/>
    <w:unhideWhenUsed/>
    <w:rsid w:val="00FC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01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A901E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01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4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901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84B"/>
  </w:style>
  <w:style w:type="paragraph" w:styleId="Footer">
    <w:name w:val="footer"/>
    <w:basedOn w:val="Normal"/>
    <w:link w:val="FooterChar"/>
    <w:uiPriority w:val="99"/>
    <w:unhideWhenUsed/>
    <w:rsid w:val="00FC3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84B"/>
  </w:style>
  <w:style w:type="paragraph" w:styleId="BalloonText">
    <w:name w:val="Balloon Text"/>
    <w:basedOn w:val="Normal"/>
    <w:link w:val="BalloonTextChar"/>
    <w:uiPriority w:val="99"/>
    <w:semiHidden/>
    <w:unhideWhenUsed/>
    <w:rsid w:val="00FC3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4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901E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A901E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01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2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75D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E6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jim.henkel@kdkconsult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dkconsults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73"/>
    <w:rsid w:val="006A4500"/>
    <w:rsid w:val="007D7511"/>
    <w:rsid w:val="00961973"/>
    <w:rsid w:val="00DA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59724118A4FB79196AD94539700B3">
    <w:name w:val="17259724118A4FB79196AD94539700B3"/>
    <w:rsid w:val="00961973"/>
  </w:style>
  <w:style w:type="paragraph" w:customStyle="1" w:styleId="3AD6E83496644555ADD735234954D470">
    <w:name w:val="3AD6E83496644555ADD735234954D470"/>
    <w:rsid w:val="006A45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59724118A4FB79196AD94539700B3">
    <w:name w:val="17259724118A4FB79196AD94539700B3"/>
    <w:rsid w:val="00961973"/>
  </w:style>
  <w:style w:type="paragraph" w:customStyle="1" w:styleId="3AD6E83496644555ADD735234954D470">
    <w:name w:val="3AD6E83496644555ADD735234954D470"/>
    <w:rsid w:val="006A4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C558E5C-BE45-4ACD-8331-C3A147D5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GRAY</dc:creator>
  <cp:lastModifiedBy>Jim</cp:lastModifiedBy>
  <cp:revision>6</cp:revision>
  <dcterms:created xsi:type="dcterms:W3CDTF">2013-10-28T22:47:00Z</dcterms:created>
  <dcterms:modified xsi:type="dcterms:W3CDTF">2013-10-28T23:27:00Z</dcterms:modified>
</cp:coreProperties>
</file>