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BB" w:rsidRDefault="00A43DBB" w:rsidP="00A43DBB">
      <w:pPr>
        <w:textAlignment w:val="baseline"/>
        <w:rPr>
          <w:rFonts w:ascii="Arial" w:hAnsi="Arial" w:cs="Arial"/>
          <w:color w:val="000000"/>
          <w:sz w:val="24"/>
          <w:szCs w:val="36"/>
        </w:rPr>
      </w:pPr>
      <w:r>
        <w:rPr>
          <w:rFonts w:ascii="Arial" w:hAnsi="Arial" w:cs="Arial"/>
          <w:color w:val="000000"/>
          <w:sz w:val="24"/>
          <w:szCs w:val="36"/>
        </w:rPr>
        <w:t>Additional information to APBI Chart in Response to Congressional Response #158</w:t>
      </w:r>
    </w:p>
    <w:p w:rsidR="00A43DBB" w:rsidRPr="00A43DBB" w:rsidRDefault="00A43DBB" w:rsidP="00A43DBB">
      <w:pPr>
        <w:textAlignment w:val="baseline"/>
        <w:rPr>
          <w:rFonts w:ascii="Times New Roman" w:hAnsi="Times New Roman"/>
          <w:sz w:val="24"/>
          <w:szCs w:val="36"/>
        </w:rPr>
      </w:pPr>
    </w:p>
    <w:p w:rsidR="00756FFA" w:rsidRPr="00A43DBB" w:rsidRDefault="00756FFA" w:rsidP="00756FFA">
      <w:pPr>
        <w:numPr>
          <w:ilvl w:val="0"/>
          <w:numId w:val="1"/>
        </w:numPr>
        <w:ind w:left="1267"/>
        <w:textAlignment w:val="baseline"/>
        <w:rPr>
          <w:rFonts w:ascii="Times New Roman" w:hAnsi="Times New Roman"/>
          <w:sz w:val="24"/>
          <w:szCs w:val="36"/>
        </w:rPr>
      </w:pPr>
      <w:r w:rsidRPr="00A43DBB">
        <w:rPr>
          <w:rFonts w:ascii="Arial" w:hAnsi="Arial" w:cs="Arial"/>
          <w:color w:val="000000"/>
          <w:sz w:val="24"/>
          <w:szCs w:val="36"/>
        </w:rPr>
        <w:t>VistA Scheduling is dependent upon 41 legacy VistA packages</w:t>
      </w:r>
    </w:p>
    <w:p w:rsidR="00756FFA" w:rsidRPr="00A43DBB" w:rsidRDefault="000B271D" w:rsidP="005132C5">
      <w:pPr>
        <w:pStyle w:val="ListParagraph"/>
        <w:numPr>
          <w:ilvl w:val="1"/>
          <w:numId w:val="1"/>
        </w:numPr>
        <w:textAlignment w:val="baseline"/>
        <w:rPr>
          <w:rFonts w:ascii="Times New Roman" w:hAnsi="Times New Roman"/>
          <w:color w:val="FF0000"/>
          <w:sz w:val="24"/>
          <w:szCs w:val="36"/>
        </w:rPr>
      </w:pPr>
      <w:r w:rsidRPr="00A43DBB">
        <w:rPr>
          <w:rFonts w:ascii="Arial" w:hAnsi="Arial" w:cs="Arial"/>
          <w:color w:val="FF0000"/>
          <w:sz w:val="24"/>
          <w:szCs w:val="36"/>
        </w:rPr>
        <w:t xml:space="preserve">VistA Scheduling has interfaces to </w:t>
      </w:r>
      <w:r w:rsidR="0035470E" w:rsidRPr="00A43DBB">
        <w:rPr>
          <w:rFonts w:ascii="Arial" w:hAnsi="Arial" w:cs="Arial"/>
          <w:color w:val="FF0000"/>
          <w:sz w:val="24"/>
          <w:szCs w:val="36"/>
        </w:rPr>
        <w:t>31</w:t>
      </w:r>
      <w:r w:rsidRPr="00A43DBB">
        <w:rPr>
          <w:rFonts w:ascii="Arial" w:hAnsi="Arial" w:cs="Arial"/>
          <w:color w:val="FF0000"/>
          <w:sz w:val="24"/>
          <w:szCs w:val="36"/>
        </w:rPr>
        <w:t xml:space="preserve"> legacy VistA packages.  </w:t>
      </w:r>
      <w:r w:rsidR="00756FFA" w:rsidRPr="00A43DBB">
        <w:rPr>
          <w:rFonts w:ascii="Arial" w:hAnsi="Arial" w:cs="Arial"/>
          <w:color w:val="FF0000"/>
          <w:sz w:val="24"/>
          <w:szCs w:val="36"/>
        </w:rPr>
        <w:t xml:space="preserve">Chart 4 of the attachment </w:t>
      </w:r>
      <w:r w:rsidRPr="00A43DBB">
        <w:rPr>
          <w:rFonts w:ascii="Arial" w:hAnsi="Arial" w:cs="Arial"/>
          <w:color w:val="FF0000"/>
          <w:sz w:val="24"/>
          <w:szCs w:val="36"/>
        </w:rPr>
        <w:t>shows</w:t>
      </w:r>
      <w:r w:rsidR="0035470E" w:rsidRPr="00A43DBB">
        <w:rPr>
          <w:rFonts w:ascii="Arial" w:hAnsi="Arial" w:cs="Arial"/>
          <w:color w:val="FF0000"/>
          <w:sz w:val="24"/>
          <w:szCs w:val="36"/>
        </w:rPr>
        <w:t xml:space="preserve"> this information depicted as “Package Dependencies – 31”</w:t>
      </w:r>
    </w:p>
    <w:p w:rsidR="00756FFA" w:rsidRPr="00A43DBB" w:rsidRDefault="00756FFA" w:rsidP="00756FFA">
      <w:pPr>
        <w:numPr>
          <w:ilvl w:val="0"/>
          <w:numId w:val="1"/>
        </w:numPr>
        <w:ind w:left="1267"/>
        <w:textAlignment w:val="baseline"/>
        <w:rPr>
          <w:rFonts w:ascii="Times New Roman" w:hAnsi="Times New Roman"/>
          <w:color w:val="FF0000"/>
          <w:sz w:val="24"/>
          <w:szCs w:val="36"/>
        </w:rPr>
      </w:pPr>
      <w:r w:rsidRPr="00A43DBB">
        <w:rPr>
          <w:rFonts w:ascii="Arial" w:hAnsi="Arial" w:cs="Arial"/>
          <w:color w:val="000000"/>
          <w:sz w:val="24"/>
          <w:szCs w:val="36"/>
        </w:rPr>
        <w:t>71 legacy VistA packages are dependent upon VistA Scheduling</w:t>
      </w:r>
    </w:p>
    <w:p w:rsidR="00756FFA" w:rsidRPr="00A43DBB" w:rsidRDefault="00756FFA" w:rsidP="005132C5">
      <w:pPr>
        <w:pStyle w:val="ListParagraph"/>
        <w:numPr>
          <w:ilvl w:val="1"/>
          <w:numId w:val="1"/>
        </w:numPr>
        <w:textAlignment w:val="baseline"/>
        <w:rPr>
          <w:rFonts w:ascii="Times New Roman" w:hAnsi="Times New Roman"/>
          <w:color w:val="FF0000"/>
          <w:sz w:val="24"/>
          <w:szCs w:val="36"/>
        </w:rPr>
      </w:pPr>
      <w:r w:rsidRPr="00A43DBB">
        <w:rPr>
          <w:rFonts w:ascii="Arial" w:hAnsi="Arial" w:cs="Arial"/>
          <w:color w:val="FF0000"/>
          <w:sz w:val="24"/>
          <w:szCs w:val="36"/>
        </w:rPr>
        <w:t xml:space="preserve">Chart 5 of the attachment </w:t>
      </w:r>
      <w:r w:rsidR="006D1FA3" w:rsidRPr="00A43DBB">
        <w:rPr>
          <w:rFonts w:ascii="Arial" w:hAnsi="Arial" w:cs="Arial"/>
          <w:color w:val="FF0000"/>
          <w:sz w:val="24"/>
          <w:szCs w:val="36"/>
        </w:rPr>
        <w:t>shows</w:t>
      </w:r>
      <w:r w:rsidRPr="00A43DBB">
        <w:rPr>
          <w:rFonts w:ascii="Arial" w:hAnsi="Arial" w:cs="Arial"/>
          <w:color w:val="FF0000"/>
          <w:sz w:val="24"/>
          <w:szCs w:val="36"/>
        </w:rPr>
        <w:t xml:space="preserve"> the packages which are dependent upon VistA Scheduling</w:t>
      </w:r>
    </w:p>
    <w:p w:rsidR="00756FFA" w:rsidRPr="00A43DBB" w:rsidRDefault="00756FFA" w:rsidP="00756FFA">
      <w:pPr>
        <w:numPr>
          <w:ilvl w:val="0"/>
          <w:numId w:val="1"/>
        </w:numPr>
        <w:ind w:left="1267"/>
        <w:textAlignment w:val="baseline"/>
        <w:rPr>
          <w:rFonts w:ascii="Times New Roman" w:hAnsi="Times New Roman"/>
          <w:sz w:val="24"/>
          <w:szCs w:val="36"/>
        </w:rPr>
      </w:pPr>
      <w:r w:rsidRPr="00A43DBB">
        <w:rPr>
          <w:rFonts w:ascii="Arial" w:hAnsi="Arial" w:cs="Arial"/>
          <w:color w:val="000000"/>
          <w:sz w:val="24"/>
          <w:szCs w:val="36"/>
        </w:rPr>
        <w:t>These dependencies represent over a thousand individual integration points</w:t>
      </w:r>
    </w:p>
    <w:p w:rsidR="005132C5" w:rsidRPr="00A43DBB" w:rsidRDefault="00835570" w:rsidP="005132C5">
      <w:pPr>
        <w:pStyle w:val="ListParagraph"/>
        <w:numPr>
          <w:ilvl w:val="1"/>
          <w:numId w:val="1"/>
        </w:numPr>
        <w:textAlignment w:val="baseline"/>
        <w:rPr>
          <w:rFonts w:ascii="Times New Roman" w:hAnsi="Times New Roman"/>
          <w:color w:val="FF0000"/>
          <w:sz w:val="24"/>
          <w:szCs w:val="36"/>
        </w:rPr>
      </w:pPr>
      <w:r w:rsidRPr="00A43DBB">
        <w:rPr>
          <w:rFonts w:ascii="Arial" w:hAnsi="Arial" w:cs="Arial"/>
          <w:color w:val="FF0000"/>
          <w:sz w:val="24"/>
          <w:szCs w:val="36"/>
        </w:rPr>
        <w:t>Chart 6 of the attachment</w:t>
      </w:r>
      <w:r w:rsidR="005132C5" w:rsidRPr="00A43DBB">
        <w:rPr>
          <w:rFonts w:ascii="Arial" w:hAnsi="Arial" w:cs="Arial"/>
          <w:color w:val="FF0000"/>
          <w:sz w:val="24"/>
          <w:szCs w:val="36"/>
        </w:rPr>
        <w:t xml:space="preserve"> </w:t>
      </w:r>
      <w:r w:rsidR="006D1FA3" w:rsidRPr="00A43DBB">
        <w:rPr>
          <w:rFonts w:ascii="Arial" w:hAnsi="Arial" w:cs="Arial"/>
          <w:color w:val="FF0000"/>
          <w:sz w:val="24"/>
          <w:szCs w:val="36"/>
        </w:rPr>
        <w:t>talks to</w:t>
      </w:r>
      <w:r w:rsidR="005132C5" w:rsidRPr="00A43DBB">
        <w:rPr>
          <w:rFonts w:ascii="Arial" w:hAnsi="Arial" w:cs="Arial"/>
          <w:color w:val="FF0000"/>
          <w:sz w:val="24"/>
          <w:szCs w:val="36"/>
        </w:rPr>
        <w:t xml:space="preserve"> the integration points.</w:t>
      </w:r>
    </w:p>
    <w:p w:rsidR="005132C5" w:rsidRPr="00A43DBB" w:rsidRDefault="005132C5" w:rsidP="005132C5">
      <w:pPr>
        <w:pStyle w:val="ListParagraph"/>
        <w:numPr>
          <w:ilvl w:val="2"/>
          <w:numId w:val="1"/>
        </w:numPr>
        <w:textAlignment w:val="baseline"/>
        <w:rPr>
          <w:rFonts w:ascii="Times New Roman" w:hAnsi="Times New Roman"/>
          <w:color w:val="FF0000"/>
          <w:sz w:val="24"/>
          <w:szCs w:val="36"/>
        </w:rPr>
      </w:pPr>
      <w:r w:rsidRPr="00A43DBB">
        <w:rPr>
          <w:rFonts w:ascii="Arial" w:hAnsi="Arial" w:cs="Arial"/>
          <w:color w:val="FF0000"/>
          <w:sz w:val="24"/>
          <w:szCs w:val="36"/>
        </w:rPr>
        <w:t>See the OSEHRA website for further technical detail</w:t>
      </w:r>
    </w:p>
    <w:p w:rsidR="00756FFA" w:rsidRPr="00A43DBB" w:rsidRDefault="00DC51DE" w:rsidP="00756FFA">
      <w:pPr>
        <w:numPr>
          <w:ilvl w:val="1"/>
          <w:numId w:val="1"/>
        </w:numPr>
        <w:ind w:left="2606"/>
        <w:textAlignment w:val="baseline"/>
        <w:rPr>
          <w:rFonts w:ascii="Times New Roman" w:hAnsi="Times New Roman"/>
          <w:sz w:val="24"/>
          <w:szCs w:val="36"/>
        </w:rPr>
      </w:pPr>
      <w:hyperlink r:id="rId6" w:history="1">
        <w:r w:rsidR="00756FFA" w:rsidRPr="00A43DBB">
          <w:rPr>
            <w:rStyle w:val="Hyperlink"/>
            <w:rFonts w:ascii="Arial" w:hAnsi="Arial" w:cs="Arial"/>
            <w:sz w:val="24"/>
            <w:szCs w:val="36"/>
          </w:rPr>
          <w:t>http://code.osehra.org/dox/Package_Scheduling.html</w:t>
        </w:r>
      </w:hyperlink>
    </w:p>
    <w:p w:rsidR="006A62EB" w:rsidRPr="00A43DBB" w:rsidRDefault="00756FFA" w:rsidP="005132C5">
      <w:pPr>
        <w:numPr>
          <w:ilvl w:val="0"/>
          <w:numId w:val="1"/>
        </w:numPr>
        <w:tabs>
          <w:tab w:val="clear" w:pos="720"/>
          <w:tab w:val="num" w:pos="533"/>
        </w:tabs>
        <w:ind w:left="1080"/>
        <w:textAlignment w:val="baseline"/>
        <w:rPr>
          <w:rFonts w:ascii="Times New Roman" w:hAnsi="Times New Roman"/>
          <w:sz w:val="24"/>
          <w:szCs w:val="36"/>
        </w:rPr>
      </w:pPr>
      <w:r w:rsidRPr="00A43DBB">
        <w:rPr>
          <w:rFonts w:ascii="Arial" w:hAnsi="Arial" w:cs="Arial"/>
          <w:color w:val="000000"/>
          <w:sz w:val="24"/>
          <w:szCs w:val="36"/>
        </w:rPr>
        <w:t>A generic enterprise service must be created to ensure the synchronization of appointment data between the new MASS and legacy VistA, and other VA consumers and producers </w:t>
      </w:r>
    </w:p>
    <w:p w:rsidR="00835570" w:rsidRPr="00A43DBB" w:rsidRDefault="006A62EB" w:rsidP="006A62EB">
      <w:pPr>
        <w:numPr>
          <w:ilvl w:val="1"/>
          <w:numId w:val="1"/>
        </w:numPr>
        <w:textAlignment w:val="baseline"/>
        <w:rPr>
          <w:rFonts w:ascii="Times New Roman" w:hAnsi="Times New Roman"/>
          <w:color w:val="FF0000"/>
          <w:sz w:val="24"/>
          <w:szCs w:val="36"/>
        </w:rPr>
      </w:pPr>
      <w:r w:rsidRPr="00A43DBB">
        <w:rPr>
          <w:rFonts w:ascii="Arial" w:hAnsi="Arial" w:cs="Arial"/>
          <w:color w:val="FF0000"/>
          <w:sz w:val="24"/>
          <w:szCs w:val="36"/>
        </w:rPr>
        <w:t xml:space="preserve">Chart 7 </w:t>
      </w:r>
      <w:r w:rsidR="00835570" w:rsidRPr="00A43DBB">
        <w:rPr>
          <w:rFonts w:ascii="Arial" w:hAnsi="Arial" w:cs="Arial"/>
          <w:color w:val="FF0000"/>
          <w:sz w:val="24"/>
          <w:szCs w:val="36"/>
        </w:rPr>
        <w:t>of the attachment shows Scheduling Phase 1 VistA Integration</w:t>
      </w:r>
    </w:p>
    <w:p w:rsidR="00756FFA" w:rsidRPr="00A43DBB" w:rsidRDefault="006A62EB" w:rsidP="006A62EB">
      <w:pPr>
        <w:numPr>
          <w:ilvl w:val="1"/>
          <w:numId w:val="1"/>
        </w:numPr>
        <w:textAlignment w:val="baseline"/>
        <w:rPr>
          <w:rFonts w:ascii="Times New Roman" w:hAnsi="Times New Roman"/>
          <w:color w:val="FF0000"/>
          <w:sz w:val="24"/>
          <w:szCs w:val="36"/>
        </w:rPr>
      </w:pPr>
      <w:r w:rsidRPr="00A43DBB">
        <w:rPr>
          <w:rFonts w:ascii="Arial" w:hAnsi="Arial" w:cs="Arial"/>
          <w:color w:val="FF0000"/>
          <w:sz w:val="24"/>
          <w:szCs w:val="36"/>
        </w:rPr>
        <w:t>Due to the complexity and number of interfaces between legacy scheduling and other VistA packages, the integrity of the legacy scheduling package must be maintained.  In order to accomplish this, an enterprise service will ensure that all data within the legacy scheduling system will remain synchronized with the appropriate data in the MASS system (the existing data scheduling data set will be a subset of the MASS data set).  By maintaining this synchronization, VA can replace the scheduling functionality without disrupting other VistA modules</w:t>
      </w:r>
      <w:r w:rsidR="00756FFA" w:rsidRPr="00A43DBB">
        <w:rPr>
          <w:rFonts w:ascii="Arial" w:hAnsi="Arial" w:cs="Arial"/>
          <w:color w:val="FF0000"/>
          <w:sz w:val="24"/>
          <w:szCs w:val="36"/>
        </w:rPr>
        <w:t xml:space="preserve"> </w:t>
      </w:r>
    </w:p>
    <w:p w:rsidR="00835570" w:rsidRPr="00A43DBB" w:rsidRDefault="00756FFA" w:rsidP="00835570">
      <w:pPr>
        <w:numPr>
          <w:ilvl w:val="0"/>
          <w:numId w:val="1"/>
        </w:numPr>
        <w:ind w:left="1080"/>
        <w:textAlignment w:val="baseline"/>
        <w:rPr>
          <w:rFonts w:ascii="Times New Roman" w:hAnsi="Times New Roman"/>
          <w:sz w:val="24"/>
          <w:szCs w:val="36"/>
        </w:rPr>
      </w:pPr>
      <w:r w:rsidRPr="00A43DBB">
        <w:rPr>
          <w:rFonts w:ascii="Arial" w:hAnsi="Arial" w:cs="Arial"/>
          <w:color w:val="000000"/>
          <w:sz w:val="24"/>
          <w:szCs w:val="36"/>
        </w:rPr>
        <w:t>The MASS is a system of systems that must provide enterprise services enabling current and future applications access to scheduling and related data </w:t>
      </w:r>
    </w:p>
    <w:p w:rsidR="00835570" w:rsidRPr="00A43DBB" w:rsidRDefault="00835570" w:rsidP="006A62EB">
      <w:pPr>
        <w:numPr>
          <w:ilvl w:val="1"/>
          <w:numId w:val="1"/>
        </w:numPr>
        <w:textAlignment w:val="baseline"/>
        <w:rPr>
          <w:rFonts w:ascii="Times New Roman" w:hAnsi="Times New Roman"/>
          <w:sz w:val="24"/>
          <w:szCs w:val="36"/>
        </w:rPr>
      </w:pPr>
      <w:r w:rsidRPr="00A43DBB">
        <w:rPr>
          <w:rFonts w:ascii="Arial" w:hAnsi="Arial" w:cs="Arial"/>
          <w:color w:val="FF0000"/>
          <w:sz w:val="24"/>
          <w:szCs w:val="36"/>
        </w:rPr>
        <w:t xml:space="preserve">Chart 8 of the attachment shows VistA Scheduling </w:t>
      </w:r>
      <w:r w:rsidR="0035470E" w:rsidRPr="00A43DBB">
        <w:rPr>
          <w:rFonts w:ascii="Arial" w:hAnsi="Arial" w:cs="Arial"/>
          <w:color w:val="FF0000"/>
          <w:sz w:val="24"/>
          <w:szCs w:val="36"/>
        </w:rPr>
        <w:t xml:space="preserve">To-Be </w:t>
      </w:r>
      <w:r w:rsidRPr="00A43DBB">
        <w:rPr>
          <w:rFonts w:ascii="Arial" w:hAnsi="Arial" w:cs="Arial"/>
          <w:color w:val="FF0000"/>
          <w:sz w:val="24"/>
          <w:szCs w:val="36"/>
        </w:rPr>
        <w:t>Architecture</w:t>
      </w:r>
    </w:p>
    <w:p w:rsidR="00756FFA" w:rsidRPr="00A43DBB" w:rsidRDefault="006A62EB" w:rsidP="006A62EB">
      <w:pPr>
        <w:numPr>
          <w:ilvl w:val="1"/>
          <w:numId w:val="1"/>
        </w:numPr>
        <w:textAlignment w:val="baseline"/>
        <w:rPr>
          <w:rFonts w:ascii="Times New Roman" w:hAnsi="Times New Roman"/>
          <w:strike/>
          <w:sz w:val="24"/>
          <w:szCs w:val="36"/>
        </w:rPr>
      </w:pPr>
      <w:r w:rsidRPr="00A43DBB">
        <w:rPr>
          <w:rFonts w:ascii="Arial" w:hAnsi="Arial" w:cs="Arial"/>
          <w:color w:val="FF0000"/>
          <w:sz w:val="24"/>
          <w:szCs w:val="36"/>
        </w:rPr>
        <w:t>Enterprise services will provide a capability that can be accessed outside of the MASS system to perform scheduling functions.  These services, such as “make an appointment” or “find next available”, etc. enable external applications to access MASS capability and business rules seamlessly</w:t>
      </w:r>
      <w:r w:rsidR="0035470E" w:rsidRPr="00A43DBB">
        <w:rPr>
          <w:rFonts w:ascii="Arial" w:hAnsi="Arial" w:cs="Arial"/>
          <w:color w:val="FF0000"/>
          <w:sz w:val="24"/>
          <w:szCs w:val="36"/>
        </w:rPr>
        <w:t xml:space="preserve"> with an API</w:t>
      </w:r>
      <w:r w:rsidRPr="00A43DBB">
        <w:rPr>
          <w:rFonts w:ascii="Arial" w:hAnsi="Arial" w:cs="Arial"/>
          <w:color w:val="FF0000"/>
          <w:sz w:val="24"/>
          <w:szCs w:val="36"/>
        </w:rPr>
        <w:t>.  Furthermore, by having externa</w:t>
      </w:r>
      <w:r w:rsidR="0035470E" w:rsidRPr="00A43DBB">
        <w:rPr>
          <w:rFonts w:ascii="Arial" w:hAnsi="Arial" w:cs="Arial"/>
          <w:color w:val="FF0000"/>
          <w:sz w:val="24"/>
          <w:szCs w:val="36"/>
        </w:rPr>
        <w:t>l systems access MASS capabilities</w:t>
      </w:r>
      <w:r w:rsidRPr="00A43DBB">
        <w:rPr>
          <w:rFonts w:ascii="Arial" w:hAnsi="Arial" w:cs="Arial"/>
          <w:color w:val="FF0000"/>
          <w:sz w:val="24"/>
          <w:szCs w:val="36"/>
        </w:rPr>
        <w:t xml:space="preserve"> via a common service, updates and changes to MASS can be made without the </w:t>
      </w:r>
      <w:r w:rsidR="0035470E" w:rsidRPr="00A43DBB">
        <w:rPr>
          <w:rFonts w:ascii="Arial" w:hAnsi="Arial" w:cs="Arial"/>
          <w:color w:val="FF0000"/>
          <w:sz w:val="24"/>
          <w:szCs w:val="36"/>
        </w:rPr>
        <w:t xml:space="preserve">legacy </w:t>
      </w:r>
      <w:r w:rsidRPr="00A43DBB">
        <w:rPr>
          <w:rFonts w:ascii="Arial" w:hAnsi="Arial" w:cs="Arial"/>
          <w:color w:val="FF0000"/>
          <w:sz w:val="24"/>
          <w:szCs w:val="36"/>
        </w:rPr>
        <w:t>interface complexity</w:t>
      </w:r>
      <w:r w:rsidR="0035470E" w:rsidRPr="00A43DBB">
        <w:rPr>
          <w:rFonts w:ascii="Arial" w:hAnsi="Arial" w:cs="Arial"/>
          <w:color w:val="FF0000"/>
          <w:sz w:val="24"/>
          <w:szCs w:val="36"/>
        </w:rPr>
        <w:t>.</w:t>
      </w:r>
      <w:r w:rsidRPr="00A43DBB">
        <w:rPr>
          <w:rFonts w:ascii="Arial" w:hAnsi="Arial" w:cs="Arial"/>
          <w:color w:val="FF0000"/>
          <w:sz w:val="24"/>
          <w:szCs w:val="36"/>
        </w:rPr>
        <w:t xml:space="preserve"> </w:t>
      </w:r>
    </w:p>
    <w:p w:rsidR="006A62EB" w:rsidRPr="00A43DBB" w:rsidRDefault="00756FFA" w:rsidP="005132C5">
      <w:pPr>
        <w:numPr>
          <w:ilvl w:val="0"/>
          <w:numId w:val="1"/>
        </w:numPr>
        <w:ind w:left="1080"/>
        <w:textAlignment w:val="baseline"/>
        <w:rPr>
          <w:rFonts w:ascii="Times New Roman" w:hAnsi="Times New Roman"/>
          <w:sz w:val="24"/>
          <w:szCs w:val="36"/>
        </w:rPr>
      </w:pPr>
      <w:r w:rsidRPr="00A43DBB">
        <w:rPr>
          <w:rFonts w:ascii="Arial" w:hAnsi="Arial" w:cs="Arial"/>
          <w:color w:val="000000"/>
          <w:sz w:val="24"/>
          <w:szCs w:val="36"/>
        </w:rPr>
        <w:t>Legacy integration points will be migrated to MASS provided enterprise services over time</w:t>
      </w:r>
    </w:p>
    <w:p w:rsidR="005132C5" w:rsidRPr="00A43DBB" w:rsidRDefault="00835570" w:rsidP="00835570">
      <w:pPr>
        <w:numPr>
          <w:ilvl w:val="1"/>
          <w:numId w:val="1"/>
        </w:numPr>
        <w:textAlignment w:val="baseline"/>
        <w:rPr>
          <w:rFonts w:ascii="Times New Roman" w:hAnsi="Times New Roman"/>
          <w:sz w:val="24"/>
          <w:szCs w:val="36"/>
        </w:rPr>
      </w:pPr>
      <w:r w:rsidRPr="00A43DBB">
        <w:rPr>
          <w:rFonts w:ascii="Arial" w:hAnsi="Arial" w:cs="Arial"/>
          <w:color w:val="FF0000"/>
          <w:sz w:val="24"/>
          <w:szCs w:val="36"/>
        </w:rPr>
        <w:t xml:space="preserve">VA’s goal is to retire older software as appropriate in order to contain sustainment costs.  The migration of legacy integration points to MASS will enable </w:t>
      </w:r>
      <w:r w:rsidR="006D1FA3" w:rsidRPr="00A43DBB">
        <w:rPr>
          <w:rFonts w:ascii="Arial" w:hAnsi="Arial" w:cs="Arial"/>
          <w:color w:val="FF0000"/>
          <w:sz w:val="24"/>
          <w:szCs w:val="36"/>
        </w:rPr>
        <w:t xml:space="preserve">gradual </w:t>
      </w:r>
      <w:r w:rsidRPr="00A43DBB">
        <w:rPr>
          <w:rFonts w:ascii="Arial" w:hAnsi="Arial" w:cs="Arial"/>
          <w:color w:val="FF0000"/>
          <w:sz w:val="24"/>
          <w:szCs w:val="36"/>
        </w:rPr>
        <w:t>retirement of the legacy scheduling code base</w:t>
      </w:r>
      <w:r w:rsidR="006D1FA3" w:rsidRPr="00A43DBB">
        <w:rPr>
          <w:rFonts w:ascii="Arial" w:hAnsi="Arial" w:cs="Arial"/>
          <w:color w:val="FF0000"/>
          <w:sz w:val="24"/>
          <w:szCs w:val="36"/>
        </w:rPr>
        <w:t>.</w:t>
      </w:r>
    </w:p>
    <w:p w:rsidR="00756FFA" w:rsidRPr="00A43DBB" w:rsidRDefault="00756FFA" w:rsidP="005132C5">
      <w:pPr>
        <w:numPr>
          <w:ilvl w:val="0"/>
          <w:numId w:val="1"/>
        </w:numPr>
        <w:ind w:left="1080"/>
        <w:textAlignment w:val="baseline"/>
        <w:rPr>
          <w:rFonts w:ascii="Arial" w:hAnsi="Arial" w:cs="Arial"/>
          <w:color w:val="000000"/>
          <w:sz w:val="24"/>
          <w:szCs w:val="36"/>
        </w:rPr>
      </w:pPr>
      <w:r w:rsidRPr="00A43DBB">
        <w:rPr>
          <w:rFonts w:ascii="Arial" w:hAnsi="Arial" w:cs="Arial"/>
          <w:color w:val="000000"/>
          <w:sz w:val="24"/>
          <w:szCs w:val="36"/>
        </w:rPr>
        <w:t>MASS will provide enterprise services to integrate with legacy packages as required</w:t>
      </w:r>
    </w:p>
    <w:p w:rsidR="00835570" w:rsidRPr="00A43DBB" w:rsidRDefault="00835570" w:rsidP="00835570">
      <w:pPr>
        <w:numPr>
          <w:ilvl w:val="1"/>
          <w:numId w:val="1"/>
        </w:numPr>
        <w:textAlignment w:val="baseline"/>
        <w:rPr>
          <w:rFonts w:ascii="Arial" w:hAnsi="Arial" w:cs="Arial"/>
          <w:color w:val="FF0000"/>
          <w:sz w:val="24"/>
          <w:szCs w:val="36"/>
        </w:rPr>
      </w:pPr>
      <w:r w:rsidRPr="00A43DBB">
        <w:rPr>
          <w:rFonts w:ascii="Arial" w:hAnsi="Arial" w:cs="Arial"/>
          <w:color w:val="FF0000"/>
          <w:sz w:val="24"/>
          <w:szCs w:val="36"/>
        </w:rPr>
        <w:t xml:space="preserve">See above </w:t>
      </w:r>
      <w:r w:rsidR="0035470E" w:rsidRPr="00A43DBB">
        <w:rPr>
          <w:rFonts w:ascii="Arial" w:hAnsi="Arial" w:cs="Arial"/>
          <w:color w:val="FF0000"/>
          <w:sz w:val="24"/>
          <w:szCs w:val="36"/>
        </w:rPr>
        <w:t xml:space="preserve">related </w:t>
      </w:r>
      <w:r w:rsidRPr="00A43DBB">
        <w:rPr>
          <w:rFonts w:ascii="Arial" w:hAnsi="Arial" w:cs="Arial"/>
          <w:color w:val="FF0000"/>
          <w:sz w:val="24"/>
          <w:szCs w:val="36"/>
        </w:rPr>
        <w:t>response</w:t>
      </w:r>
      <w:r w:rsidR="0035470E" w:rsidRPr="00A43DBB">
        <w:rPr>
          <w:rFonts w:ascii="Arial" w:hAnsi="Arial" w:cs="Arial"/>
          <w:color w:val="FF0000"/>
          <w:sz w:val="24"/>
          <w:szCs w:val="36"/>
        </w:rPr>
        <w:t>s</w:t>
      </w:r>
    </w:p>
    <w:p w:rsidR="00756FFA" w:rsidRPr="00A43DBB" w:rsidRDefault="00756FFA" w:rsidP="005132C5">
      <w:pPr>
        <w:ind w:left="1080"/>
        <w:textAlignment w:val="baseline"/>
        <w:rPr>
          <w:rFonts w:ascii="Times New Roman" w:hAnsi="Times New Roman"/>
          <w:sz w:val="24"/>
          <w:szCs w:val="36"/>
        </w:rPr>
      </w:pPr>
      <w:r w:rsidRPr="00A43DBB">
        <w:rPr>
          <w:rFonts w:ascii="Arial" w:hAnsi="Arial" w:cs="Arial"/>
          <w:color w:val="000000"/>
          <w:sz w:val="24"/>
          <w:szCs w:val="36"/>
        </w:rPr>
        <w:t xml:space="preserve"> </w:t>
      </w:r>
    </w:p>
    <w:p w:rsidR="00EE7B82" w:rsidRPr="00A43DBB" w:rsidRDefault="00DC51DE" w:rsidP="005132C5">
      <w:pPr>
        <w:rPr>
          <w:sz w:val="16"/>
        </w:rPr>
      </w:pPr>
    </w:p>
    <w:sectPr w:rsidR="00EE7B82" w:rsidRPr="00A4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74B6"/>
    <w:multiLevelType w:val="hybridMultilevel"/>
    <w:tmpl w:val="55AC16F8"/>
    <w:lvl w:ilvl="0" w:tplc="04090001">
      <w:start w:val="1"/>
      <w:numFmt w:val="bullet"/>
      <w:lvlText w:val=""/>
      <w:lvlJc w:val="left"/>
      <w:pPr>
        <w:ind w:left="1267" w:hanging="360"/>
      </w:pPr>
      <w:rPr>
        <w:rFonts w:ascii="Symbol" w:hAnsi="Symbol"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3F95766D"/>
    <w:multiLevelType w:val="hybridMultilevel"/>
    <w:tmpl w:val="FB720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ED15F92"/>
    <w:multiLevelType w:val="hybridMultilevel"/>
    <w:tmpl w:val="52C0F99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FE1027F"/>
    <w:multiLevelType w:val="hybridMultilevel"/>
    <w:tmpl w:val="9AC635F8"/>
    <w:lvl w:ilvl="0" w:tplc="7B2CCF0C">
      <w:start w:val="1"/>
      <w:numFmt w:val="bullet"/>
      <w:lvlText w:val="•"/>
      <w:lvlJc w:val="left"/>
      <w:pPr>
        <w:tabs>
          <w:tab w:val="num" w:pos="720"/>
        </w:tabs>
        <w:ind w:left="720" w:hanging="360"/>
      </w:pPr>
      <w:rPr>
        <w:rFonts w:ascii="Arial" w:hAnsi="Arial" w:cs="Times New Roman" w:hint="default"/>
      </w:rPr>
    </w:lvl>
    <w:lvl w:ilvl="1" w:tplc="C02E23BA">
      <w:start w:val="3705"/>
      <w:numFmt w:val="bullet"/>
      <w:lvlText w:val="–"/>
      <w:lvlJc w:val="left"/>
      <w:pPr>
        <w:tabs>
          <w:tab w:val="num" w:pos="1440"/>
        </w:tabs>
        <w:ind w:left="1440" w:hanging="360"/>
      </w:pPr>
      <w:rPr>
        <w:rFonts w:ascii="Arial" w:hAnsi="Arial" w:cs="Times New Roman" w:hint="default"/>
      </w:rPr>
    </w:lvl>
    <w:lvl w:ilvl="2" w:tplc="DBFE2FD0">
      <w:start w:val="1"/>
      <w:numFmt w:val="bullet"/>
      <w:lvlText w:val="•"/>
      <w:lvlJc w:val="left"/>
      <w:pPr>
        <w:tabs>
          <w:tab w:val="num" w:pos="2160"/>
        </w:tabs>
        <w:ind w:left="2160" w:hanging="360"/>
      </w:pPr>
      <w:rPr>
        <w:rFonts w:ascii="Arial" w:hAnsi="Arial" w:cs="Times New Roman" w:hint="default"/>
      </w:rPr>
    </w:lvl>
    <w:lvl w:ilvl="3" w:tplc="A6A69D4C">
      <w:start w:val="1"/>
      <w:numFmt w:val="bullet"/>
      <w:lvlText w:val="•"/>
      <w:lvlJc w:val="left"/>
      <w:pPr>
        <w:tabs>
          <w:tab w:val="num" w:pos="2880"/>
        </w:tabs>
        <w:ind w:left="2880" w:hanging="360"/>
      </w:pPr>
      <w:rPr>
        <w:rFonts w:ascii="Arial" w:hAnsi="Arial" w:cs="Times New Roman" w:hint="default"/>
      </w:rPr>
    </w:lvl>
    <w:lvl w:ilvl="4" w:tplc="E8E665BC">
      <w:start w:val="1"/>
      <w:numFmt w:val="bullet"/>
      <w:lvlText w:val="•"/>
      <w:lvlJc w:val="left"/>
      <w:pPr>
        <w:tabs>
          <w:tab w:val="num" w:pos="3600"/>
        </w:tabs>
        <w:ind w:left="3600" w:hanging="360"/>
      </w:pPr>
      <w:rPr>
        <w:rFonts w:ascii="Arial" w:hAnsi="Arial" w:cs="Times New Roman" w:hint="default"/>
      </w:rPr>
    </w:lvl>
    <w:lvl w:ilvl="5" w:tplc="601692B8">
      <w:start w:val="1"/>
      <w:numFmt w:val="bullet"/>
      <w:lvlText w:val="•"/>
      <w:lvlJc w:val="left"/>
      <w:pPr>
        <w:tabs>
          <w:tab w:val="num" w:pos="4320"/>
        </w:tabs>
        <w:ind w:left="4320" w:hanging="360"/>
      </w:pPr>
      <w:rPr>
        <w:rFonts w:ascii="Arial" w:hAnsi="Arial" w:cs="Times New Roman" w:hint="default"/>
      </w:rPr>
    </w:lvl>
    <w:lvl w:ilvl="6" w:tplc="2B1653BE">
      <w:start w:val="1"/>
      <w:numFmt w:val="bullet"/>
      <w:lvlText w:val="•"/>
      <w:lvlJc w:val="left"/>
      <w:pPr>
        <w:tabs>
          <w:tab w:val="num" w:pos="5040"/>
        </w:tabs>
        <w:ind w:left="5040" w:hanging="360"/>
      </w:pPr>
      <w:rPr>
        <w:rFonts w:ascii="Arial" w:hAnsi="Arial" w:cs="Times New Roman" w:hint="default"/>
      </w:rPr>
    </w:lvl>
    <w:lvl w:ilvl="7" w:tplc="FFE0D77C">
      <w:start w:val="1"/>
      <w:numFmt w:val="bullet"/>
      <w:lvlText w:val="•"/>
      <w:lvlJc w:val="left"/>
      <w:pPr>
        <w:tabs>
          <w:tab w:val="num" w:pos="5760"/>
        </w:tabs>
        <w:ind w:left="5760" w:hanging="360"/>
      </w:pPr>
      <w:rPr>
        <w:rFonts w:ascii="Arial" w:hAnsi="Arial" w:cs="Times New Roman" w:hint="default"/>
      </w:rPr>
    </w:lvl>
    <w:lvl w:ilvl="8" w:tplc="2E64FF72">
      <w:start w:val="1"/>
      <w:numFmt w:val="bullet"/>
      <w:lvlText w:val="•"/>
      <w:lvlJc w:val="left"/>
      <w:pPr>
        <w:tabs>
          <w:tab w:val="num" w:pos="6480"/>
        </w:tabs>
        <w:ind w:left="6480" w:hanging="360"/>
      </w:pPr>
      <w:rPr>
        <w:rFonts w:ascii="Arial" w:hAnsi="Arial" w:cs="Times New Roman" w:hint="default"/>
      </w:rPr>
    </w:lvl>
  </w:abstractNum>
  <w:abstractNum w:abstractNumId="4">
    <w:nsid w:val="70E563A5"/>
    <w:multiLevelType w:val="hybridMultilevel"/>
    <w:tmpl w:val="F89AE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FA"/>
    <w:rsid w:val="000B271D"/>
    <w:rsid w:val="0035470E"/>
    <w:rsid w:val="005132C5"/>
    <w:rsid w:val="00542753"/>
    <w:rsid w:val="006163D0"/>
    <w:rsid w:val="00652EF7"/>
    <w:rsid w:val="00692862"/>
    <w:rsid w:val="006A62EB"/>
    <w:rsid w:val="006D1FA3"/>
    <w:rsid w:val="00756FFA"/>
    <w:rsid w:val="00835570"/>
    <w:rsid w:val="00A43DBB"/>
    <w:rsid w:val="00A6490B"/>
    <w:rsid w:val="00D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FFA"/>
    <w:rPr>
      <w:color w:val="0000FF"/>
      <w:u w:val="single"/>
    </w:rPr>
  </w:style>
  <w:style w:type="paragraph" w:styleId="ListParagraph">
    <w:name w:val="List Paragraph"/>
    <w:basedOn w:val="Normal"/>
    <w:uiPriority w:val="34"/>
    <w:qFormat/>
    <w:rsid w:val="00756F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FFA"/>
    <w:rPr>
      <w:color w:val="0000FF"/>
      <w:u w:val="single"/>
    </w:rPr>
  </w:style>
  <w:style w:type="paragraph" w:styleId="ListParagraph">
    <w:name w:val="List Paragraph"/>
    <w:basedOn w:val="Normal"/>
    <w:uiPriority w:val="34"/>
    <w:qFormat/>
    <w:rsid w:val="00756F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osehra.org/dox/Package_Schedul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Cahall, Timothy</dc:creator>
  <cp:lastModifiedBy>Truex, Matthew</cp:lastModifiedBy>
  <cp:revision>1</cp:revision>
  <dcterms:created xsi:type="dcterms:W3CDTF">2014-10-22T12:07:00Z</dcterms:created>
  <dcterms:modified xsi:type="dcterms:W3CDTF">2014-10-22T12:07:00Z</dcterms:modified>
</cp:coreProperties>
</file>