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B77" w:rsidRDefault="00F06B77">
      <w:pPr>
        <w:pStyle w:val="NormalWeb"/>
        <w:keepLines/>
        <w:spacing w:before="0" w:after="0"/>
        <w:rPr>
          <w:b/>
          <w:sz w:val="22"/>
          <w:szCs w:val="22"/>
          <w:u w:val="single"/>
        </w:rPr>
      </w:pPr>
      <w:r>
        <w:rPr>
          <w:b/>
          <w:noProof/>
          <w:sz w:val="22"/>
          <w:szCs w:val="22"/>
          <w:u w:val="single"/>
        </w:rPr>
        <w:drawing>
          <wp:inline distT="0" distB="0" distL="0" distR="0">
            <wp:extent cx="2324100" cy="2905125"/>
            <wp:effectExtent l="0" t="0" r="0" b="9525"/>
            <wp:docPr id="1" name="Picture 1" descr="C:\Users\vhaeasmoranv\AppData\Local\Microsoft\Windows\Temporary Internet Files\Content.Outlook\NDZA6DNI\Paul Tibbits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haeasmoranv\AppData\Local\Microsoft\Windows\Temporary Internet Files\Content.Outlook\NDZA6DNI\Paul Tibbits pic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2905125"/>
                    </a:xfrm>
                    <a:prstGeom prst="rect">
                      <a:avLst/>
                    </a:prstGeom>
                    <a:noFill/>
                    <a:ln>
                      <a:noFill/>
                    </a:ln>
                  </pic:spPr>
                </pic:pic>
              </a:graphicData>
            </a:graphic>
          </wp:inline>
        </w:drawing>
      </w:r>
      <w:bookmarkStart w:id="0" w:name="_GoBack"/>
      <w:bookmarkEnd w:id="0"/>
    </w:p>
    <w:p w:rsidR="00F06B77" w:rsidRDefault="00F06B77">
      <w:pPr>
        <w:pStyle w:val="NormalWeb"/>
        <w:keepLines/>
        <w:spacing w:before="0" w:after="0"/>
        <w:rPr>
          <w:b/>
          <w:sz w:val="22"/>
          <w:szCs w:val="22"/>
          <w:u w:val="single"/>
        </w:rPr>
      </w:pPr>
    </w:p>
    <w:p w:rsidR="00F06B77" w:rsidRDefault="00F06B77">
      <w:pPr>
        <w:pStyle w:val="NormalWeb"/>
        <w:keepLines/>
        <w:spacing w:before="0" w:after="0"/>
        <w:rPr>
          <w:b/>
          <w:sz w:val="22"/>
          <w:szCs w:val="22"/>
          <w:u w:val="single"/>
        </w:rPr>
      </w:pPr>
    </w:p>
    <w:p w:rsidR="00F06B77" w:rsidRDefault="00F06B77">
      <w:pPr>
        <w:pStyle w:val="NormalWeb"/>
        <w:keepLines/>
        <w:spacing w:before="0" w:after="0"/>
        <w:rPr>
          <w:b/>
          <w:sz w:val="22"/>
          <w:szCs w:val="22"/>
          <w:u w:val="single"/>
        </w:rPr>
      </w:pPr>
    </w:p>
    <w:p w:rsidR="001512BA" w:rsidRDefault="001512BA">
      <w:pPr>
        <w:pStyle w:val="NormalWeb"/>
        <w:keepLines/>
        <w:spacing w:before="0" w:after="0"/>
        <w:rPr>
          <w:b/>
          <w:sz w:val="22"/>
          <w:szCs w:val="22"/>
          <w:u w:val="single"/>
        </w:rPr>
      </w:pPr>
      <w:r>
        <w:rPr>
          <w:b/>
          <w:sz w:val="22"/>
          <w:szCs w:val="22"/>
          <w:u w:val="single"/>
        </w:rPr>
        <w:t>Paul A. Tibbits, M.D.</w:t>
      </w:r>
    </w:p>
    <w:p w:rsidR="001512BA" w:rsidRDefault="001512BA" w:rsidP="00912A13">
      <w:pPr>
        <w:pStyle w:val="NormalWeb"/>
        <w:spacing w:before="0" w:after="0"/>
        <w:rPr>
          <w:bCs/>
          <w:sz w:val="22"/>
          <w:szCs w:val="22"/>
        </w:rPr>
      </w:pPr>
      <w:r>
        <w:rPr>
          <w:bCs/>
          <w:sz w:val="22"/>
          <w:szCs w:val="22"/>
        </w:rPr>
        <w:t xml:space="preserve">Dr. Tibbits was inducted into Senior Executive Service in February 2004, appointed Deputy Chief Information Officer for Enterprise Development for Department of Veterans Affairs on 7 December 2006 – July 2010. He is currently the </w:t>
      </w:r>
      <w:r w:rsidRPr="00912A13">
        <w:rPr>
          <w:bCs/>
          <w:sz w:val="22"/>
          <w:szCs w:val="22"/>
        </w:rPr>
        <w:t>Deputy Chief Information Officer</w:t>
      </w:r>
      <w:r>
        <w:rPr>
          <w:bCs/>
          <w:sz w:val="22"/>
          <w:szCs w:val="22"/>
        </w:rPr>
        <w:t xml:space="preserve"> for Architecture, Strategy, and Design. </w:t>
      </w:r>
    </w:p>
    <w:p w:rsidR="001512BA" w:rsidRDefault="001512BA" w:rsidP="00912A13">
      <w:pPr>
        <w:pStyle w:val="NormalWeb"/>
        <w:spacing w:before="0" w:after="0"/>
        <w:rPr>
          <w:bCs/>
          <w:sz w:val="22"/>
          <w:szCs w:val="22"/>
        </w:rPr>
      </w:pPr>
    </w:p>
    <w:p w:rsidR="001512BA" w:rsidRDefault="001512BA" w:rsidP="00912A13">
      <w:pPr>
        <w:pStyle w:val="NormalWeb"/>
        <w:spacing w:before="0" w:after="0"/>
        <w:rPr>
          <w:bCs/>
          <w:sz w:val="22"/>
          <w:szCs w:val="22"/>
        </w:rPr>
      </w:pPr>
      <w:r>
        <w:rPr>
          <w:bCs/>
          <w:sz w:val="22"/>
          <w:szCs w:val="22"/>
        </w:rPr>
        <w:t>Dr. Tibbits served in DoD as Director of the Business Management and Modernization Program and Transformation Support Office until September 2005, then served as Deputy Director of Military Health System Office of Transformation, representing Assistant Secretary of Defense (Health Affairs). While at VA, Dr. Tibbits led the Transformation-21 Work Group to set in place the IT organization, processes, projects, and knowledge management tools necessary to prepare VA to operate in the 21</w:t>
      </w:r>
      <w:r>
        <w:rPr>
          <w:bCs/>
          <w:sz w:val="22"/>
          <w:szCs w:val="22"/>
          <w:vertAlign w:val="superscript"/>
        </w:rPr>
        <w:t>st</w:t>
      </w:r>
      <w:r>
        <w:rPr>
          <w:bCs/>
          <w:sz w:val="22"/>
          <w:szCs w:val="22"/>
        </w:rPr>
        <w:t xml:space="preserve"> century.</w:t>
      </w:r>
    </w:p>
    <w:p w:rsidR="001512BA" w:rsidRDefault="001512BA">
      <w:pPr>
        <w:pStyle w:val="NormalWeb"/>
        <w:rPr>
          <w:sz w:val="22"/>
          <w:szCs w:val="22"/>
        </w:rPr>
      </w:pPr>
      <w:r>
        <w:rPr>
          <w:bCs/>
          <w:sz w:val="22"/>
          <w:szCs w:val="22"/>
        </w:rPr>
        <w:t>Dr. Tibbits is an e</w:t>
      </w:r>
      <w:r>
        <w:rPr>
          <w:sz w:val="22"/>
          <w:szCs w:val="22"/>
        </w:rPr>
        <w:t>xperienced executive</w:t>
      </w:r>
      <w:r>
        <w:rPr>
          <w:b/>
          <w:sz w:val="22"/>
          <w:szCs w:val="22"/>
        </w:rPr>
        <w:t xml:space="preserve"> </w:t>
      </w:r>
      <w:r>
        <w:rPr>
          <w:sz w:val="22"/>
          <w:szCs w:val="22"/>
        </w:rPr>
        <w:t xml:space="preserve">in change management, organizational development, global health IT systems, planning, problem-solving, metrics, outsourcing, contracts, finance, employee effectiveness, and customer satisfaction. </w:t>
      </w:r>
    </w:p>
    <w:p w:rsidR="001512BA" w:rsidRDefault="001512BA">
      <w:pPr>
        <w:pStyle w:val="NormalWeb"/>
        <w:rPr>
          <w:sz w:val="22"/>
          <w:szCs w:val="22"/>
        </w:rPr>
      </w:pPr>
      <w:r>
        <w:rPr>
          <w:bCs/>
          <w:sz w:val="22"/>
          <w:szCs w:val="22"/>
        </w:rPr>
        <w:t>Dr. Tibbits served as Program Executive Officer</w:t>
      </w:r>
      <w:r>
        <w:rPr>
          <w:sz w:val="22"/>
          <w:szCs w:val="22"/>
        </w:rPr>
        <w:t xml:space="preserve"> of $400M Defense IT enterprise, with 18 yrs leading change management, process re-engineering, and IT initiatives supporting health care of 8.5M people, 50M visits, 1M admissions annually in Military Health System. </w:t>
      </w:r>
    </w:p>
    <w:p w:rsidR="001512BA" w:rsidRDefault="001512BA">
      <w:pPr>
        <w:pStyle w:val="NormalWeb"/>
        <w:rPr>
          <w:sz w:val="22"/>
          <w:szCs w:val="22"/>
        </w:rPr>
      </w:pPr>
      <w:r>
        <w:rPr>
          <w:sz w:val="22"/>
          <w:szCs w:val="22"/>
        </w:rPr>
        <w:t>Dr. Tibbits led IT operations for approximately 100 hospitals, 500 clinics, 100 data centers, networks, and 125,000 desktops; and implemented controls to manage total ownership costs.</w:t>
      </w:r>
    </w:p>
    <w:sectPr w:rsidR="001512BA" w:rsidSect="00F732B0">
      <w:footerReference w:type="default" r:id="rId9"/>
      <w:pgSz w:w="12240" w:h="15840"/>
      <w:pgMar w:top="810" w:right="1440" w:bottom="2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C77" w:rsidRDefault="00170C77">
      <w:r>
        <w:separator/>
      </w:r>
    </w:p>
  </w:endnote>
  <w:endnote w:type="continuationSeparator" w:id="0">
    <w:p w:rsidR="00170C77" w:rsidRDefault="0017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2BA" w:rsidRDefault="001512BA">
    <w:pPr>
      <w:pStyle w:val="Footer"/>
      <w:jc w:val="center"/>
    </w:pPr>
    <w:r>
      <w:t>23 Sept 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C77" w:rsidRDefault="00170C77">
      <w:r>
        <w:separator/>
      </w:r>
    </w:p>
  </w:footnote>
  <w:footnote w:type="continuationSeparator" w:id="0">
    <w:p w:rsidR="00170C77" w:rsidRDefault="00170C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E925A48"/>
    <w:lvl w:ilvl="0">
      <w:start w:val="1"/>
      <w:numFmt w:val="bullet"/>
      <w:lvlText w:val=""/>
      <w:lvlJc w:val="left"/>
      <w:pPr>
        <w:tabs>
          <w:tab w:val="num" w:pos="720"/>
        </w:tabs>
        <w:ind w:left="720" w:hanging="360"/>
      </w:pPr>
      <w:rPr>
        <w:rFonts w:ascii="Symbol" w:hAnsi="Symbol" w:hint="default"/>
      </w:rPr>
    </w:lvl>
  </w:abstractNum>
  <w:abstractNum w:abstractNumId="1">
    <w:nsid w:val="2192217F"/>
    <w:multiLevelType w:val="hybridMultilevel"/>
    <w:tmpl w:val="3678E026"/>
    <w:lvl w:ilvl="0" w:tplc="8EE45298">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2B71A1F"/>
    <w:multiLevelType w:val="multilevel"/>
    <w:tmpl w:val="2CE8236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0"/>
  </w:num>
  <w:num w:numId="3">
    <w:abstractNumId w:val="0"/>
  </w:num>
  <w:num w:numId="4">
    <w:abstractNumId w:val="2"/>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DA5"/>
    <w:rsid w:val="000B21E8"/>
    <w:rsid w:val="00136AC6"/>
    <w:rsid w:val="001512BA"/>
    <w:rsid w:val="00161B54"/>
    <w:rsid w:val="00170C77"/>
    <w:rsid w:val="00190286"/>
    <w:rsid w:val="002C5D84"/>
    <w:rsid w:val="00360DA5"/>
    <w:rsid w:val="004D0D10"/>
    <w:rsid w:val="005B7657"/>
    <w:rsid w:val="005C0495"/>
    <w:rsid w:val="0063092C"/>
    <w:rsid w:val="007974DA"/>
    <w:rsid w:val="007E1740"/>
    <w:rsid w:val="00906ABD"/>
    <w:rsid w:val="00912A13"/>
    <w:rsid w:val="00962FC1"/>
    <w:rsid w:val="009B7560"/>
    <w:rsid w:val="00BE4D81"/>
    <w:rsid w:val="00DC4DF9"/>
    <w:rsid w:val="00F06B77"/>
    <w:rsid w:val="00F73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2B0"/>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732B0"/>
    <w:pPr>
      <w:spacing w:before="100" w:after="100"/>
    </w:pPr>
  </w:style>
  <w:style w:type="paragraph" w:styleId="ListBullet2">
    <w:name w:val="List Bullet 2"/>
    <w:basedOn w:val="Normal"/>
    <w:autoRedefine/>
    <w:uiPriority w:val="99"/>
    <w:rsid w:val="00F732B0"/>
    <w:pPr>
      <w:numPr>
        <w:numId w:val="6"/>
      </w:numPr>
    </w:pPr>
    <w:rPr>
      <w:sz w:val="22"/>
      <w:szCs w:val="22"/>
    </w:rPr>
  </w:style>
  <w:style w:type="paragraph" w:styleId="Footer">
    <w:name w:val="footer"/>
    <w:basedOn w:val="Normal"/>
    <w:link w:val="FooterChar"/>
    <w:uiPriority w:val="99"/>
    <w:rsid w:val="00F732B0"/>
    <w:pPr>
      <w:tabs>
        <w:tab w:val="center" w:pos="4320"/>
        <w:tab w:val="right" w:pos="8640"/>
      </w:tabs>
    </w:pPr>
  </w:style>
  <w:style w:type="character" w:customStyle="1" w:styleId="FooterChar">
    <w:name w:val="Footer Char"/>
    <w:basedOn w:val="DefaultParagraphFont"/>
    <w:link w:val="Footer"/>
    <w:uiPriority w:val="99"/>
    <w:semiHidden/>
    <w:rsid w:val="00322FDD"/>
    <w:rPr>
      <w:sz w:val="24"/>
      <w:szCs w:val="20"/>
    </w:rPr>
  </w:style>
  <w:style w:type="character" w:styleId="Hyperlink">
    <w:name w:val="Hyperlink"/>
    <w:basedOn w:val="DefaultParagraphFont"/>
    <w:uiPriority w:val="99"/>
    <w:rsid w:val="00F732B0"/>
    <w:rPr>
      <w:rFonts w:cs="Times New Roman"/>
      <w:color w:val="0000FF"/>
      <w:u w:val="single"/>
    </w:rPr>
  </w:style>
  <w:style w:type="paragraph" w:styleId="Header">
    <w:name w:val="header"/>
    <w:basedOn w:val="Normal"/>
    <w:link w:val="HeaderChar"/>
    <w:uiPriority w:val="99"/>
    <w:rsid w:val="00F732B0"/>
    <w:pPr>
      <w:tabs>
        <w:tab w:val="center" w:pos="4320"/>
        <w:tab w:val="right" w:pos="8640"/>
      </w:tabs>
    </w:pPr>
  </w:style>
  <w:style w:type="character" w:customStyle="1" w:styleId="HeaderChar">
    <w:name w:val="Header Char"/>
    <w:basedOn w:val="DefaultParagraphFont"/>
    <w:link w:val="Header"/>
    <w:uiPriority w:val="99"/>
    <w:semiHidden/>
    <w:rsid w:val="00322FDD"/>
    <w:rPr>
      <w:sz w:val="24"/>
      <w:szCs w:val="20"/>
    </w:rPr>
  </w:style>
  <w:style w:type="character" w:styleId="FollowedHyperlink">
    <w:name w:val="FollowedHyperlink"/>
    <w:basedOn w:val="DefaultParagraphFont"/>
    <w:uiPriority w:val="99"/>
    <w:rsid w:val="00F732B0"/>
    <w:rPr>
      <w:rFonts w:cs="Times New Roman"/>
      <w:color w:val="6064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2B0"/>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732B0"/>
    <w:pPr>
      <w:spacing w:before="100" w:after="100"/>
    </w:pPr>
  </w:style>
  <w:style w:type="paragraph" w:styleId="ListBullet2">
    <w:name w:val="List Bullet 2"/>
    <w:basedOn w:val="Normal"/>
    <w:autoRedefine/>
    <w:uiPriority w:val="99"/>
    <w:rsid w:val="00F732B0"/>
    <w:pPr>
      <w:numPr>
        <w:numId w:val="6"/>
      </w:numPr>
    </w:pPr>
    <w:rPr>
      <w:sz w:val="22"/>
      <w:szCs w:val="22"/>
    </w:rPr>
  </w:style>
  <w:style w:type="paragraph" w:styleId="Footer">
    <w:name w:val="footer"/>
    <w:basedOn w:val="Normal"/>
    <w:link w:val="FooterChar"/>
    <w:uiPriority w:val="99"/>
    <w:rsid w:val="00F732B0"/>
    <w:pPr>
      <w:tabs>
        <w:tab w:val="center" w:pos="4320"/>
        <w:tab w:val="right" w:pos="8640"/>
      </w:tabs>
    </w:pPr>
  </w:style>
  <w:style w:type="character" w:customStyle="1" w:styleId="FooterChar">
    <w:name w:val="Footer Char"/>
    <w:basedOn w:val="DefaultParagraphFont"/>
    <w:link w:val="Footer"/>
    <w:uiPriority w:val="99"/>
    <w:semiHidden/>
    <w:rsid w:val="00322FDD"/>
    <w:rPr>
      <w:sz w:val="24"/>
      <w:szCs w:val="20"/>
    </w:rPr>
  </w:style>
  <w:style w:type="character" w:styleId="Hyperlink">
    <w:name w:val="Hyperlink"/>
    <w:basedOn w:val="DefaultParagraphFont"/>
    <w:uiPriority w:val="99"/>
    <w:rsid w:val="00F732B0"/>
    <w:rPr>
      <w:rFonts w:cs="Times New Roman"/>
      <w:color w:val="0000FF"/>
      <w:u w:val="single"/>
    </w:rPr>
  </w:style>
  <w:style w:type="paragraph" w:styleId="Header">
    <w:name w:val="header"/>
    <w:basedOn w:val="Normal"/>
    <w:link w:val="HeaderChar"/>
    <w:uiPriority w:val="99"/>
    <w:rsid w:val="00F732B0"/>
    <w:pPr>
      <w:tabs>
        <w:tab w:val="center" w:pos="4320"/>
        <w:tab w:val="right" w:pos="8640"/>
      </w:tabs>
    </w:pPr>
  </w:style>
  <w:style w:type="character" w:customStyle="1" w:styleId="HeaderChar">
    <w:name w:val="Header Char"/>
    <w:basedOn w:val="DefaultParagraphFont"/>
    <w:link w:val="Header"/>
    <w:uiPriority w:val="99"/>
    <w:semiHidden/>
    <w:rsid w:val="00322FDD"/>
    <w:rPr>
      <w:sz w:val="24"/>
      <w:szCs w:val="20"/>
    </w:rPr>
  </w:style>
  <w:style w:type="character" w:styleId="FollowedHyperlink">
    <w:name w:val="FollowedHyperlink"/>
    <w:basedOn w:val="DefaultParagraphFont"/>
    <w:uiPriority w:val="99"/>
    <w:rsid w:val="00F732B0"/>
    <w:rPr>
      <w:rFonts w:cs="Times New Roman"/>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1290</Characters>
  <Application>Microsoft Office Word</Application>
  <DocSecurity>0</DocSecurity>
  <Lines>10</Lines>
  <Paragraphs>3</Paragraphs>
  <ScaleCrop>false</ScaleCrop>
  <Company>DFAS</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 A</dc:title>
  <dc:creator>Paul.Tibbits</dc:creator>
  <cp:lastModifiedBy>Moran, Veronica</cp:lastModifiedBy>
  <cp:revision>3</cp:revision>
  <cp:lastPrinted>2008-07-24T15:33:00Z</cp:lastPrinted>
  <dcterms:created xsi:type="dcterms:W3CDTF">2014-05-27T17:35:00Z</dcterms:created>
  <dcterms:modified xsi:type="dcterms:W3CDTF">2014-05-27T17:35:00Z</dcterms:modified>
</cp:coreProperties>
</file>